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FORKED</w:t>
      </w:r>
    </w:p>
    <w:p>
      <w:pPr>
        <w:pStyle w:val="Subtitle"/>
      </w:pPr>
      <w:r>
        <w:t xml:space="preserve">Observer-Indexed</w:t>
      </w:r>
      <w:r>
        <w:t xml:space="preserve"> </w:t>
      </w:r>
      <w:r>
        <w:t xml:space="preserve">Reality,</w:t>
      </w:r>
      <w:r>
        <w:t xml:space="preserve"> </w:t>
      </w:r>
      <w:r>
        <w:t xml:space="preserve">Suspension</w:t>
      </w:r>
      <w:r>
        <w:t xml:space="preserve"> </w:t>
      </w:r>
      <w:r>
        <w:t xml:space="preserve">Lattices,</w:t>
      </w:r>
      <w:r>
        <w:t xml:space="preserve"> </w:t>
      </w:r>
      <w:r>
        <w:t xml:space="preserve">and</w:t>
      </w:r>
      <w:r>
        <w:t xml:space="preserve"> </w:t>
      </w:r>
      <w:r>
        <w:t xml:space="preserve">Mission-State</w:t>
      </w:r>
      <w:r>
        <w:t xml:space="preserve"> </w:t>
      </w:r>
      <w:r>
        <w:t xml:space="preserve">Integrity</w:t>
      </w:r>
    </w:p>
    <w:p>
      <w:pPr>
        <w:pStyle w:val="Author"/>
      </w:pPr>
      <w:r>
        <w:t xml:space="preserve">Breyden</w:t>
      </w:r>
      <w:r>
        <w:t xml:space="preserve"> </w:t>
      </w:r>
      <w:r>
        <w:t xml:space="preserve">E.</w:t>
      </w:r>
      <w:r>
        <w:t xml:space="preserve"> </w:t>
      </w:r>
      <w:r>
        <w:t xml:space="preserve">Taylor</w:t>
      </w:r>
      <w:r>
        <w:t xml:space="preserve"> </w:t>
      </w:r>
      <w:r>
        <w:t xml:space="preserve">-</w:t>
      </w:r>
      <w:r>
        <w:t xml:space="preserve"> </w:t>
      </w:r>
      <w:r>
        <w:t xml:space="preserve">Inventor</w:t>
      </w:r>
      <w:r>
        <w:t xml:space="preserve"> </w:t>
      </w:r>
      <w:r>
        <w:t xml:space="preserve">and</w:t>
      </w:r>
      <w:r>
        <w:t xml:space="preserve"> </w:t>
      </w:r>
      <w:r>
        <w:t xml:space="preserve">Architect,</w:t>
      </w:r>
      <w:r>
        <w:t xml:space="preserve"> </w:t>
      </w:r>
      <w:r>
        <w:t xml:space="preserve">Prompted</w:t>
      </w:r>
      <w:r>
        <w:t xml:space="preserve"> </w:t>
      </w:r>
      <w:r>
        <w:t xml:space="preserve">LLC</w:t>
      </w:r>
    </w:p>
    <w:p>
      <w:pPr>
        <w:pStyle w:val="Date"/>
      </w:pPr>
      <w:r>
        <w:t xml:space="preserve">Version</w:t>
      </w:r>
      <w:r>
        <w:t xml:space="preserve"> </w:t>
      </w:r>
      <w:r>
        <w:t xml:space="preserve">2.0</w:t>
      </w:r>
      <w:r>
        <w:t xml:space="preserve"> </w:t>
      </w:r>
      <w:r>
        <w:t xml:space="preserve">Foundational</w:t>
      </w:r>
      <w:r>
        <w:t xml:space="preserve"> </w:t>
      </w:r>
      <w:r>
        <w:t xml:space="preserve">Whitepaper</w:t>
      </w:r>
      <w:r>
        <w:t xml:space="preserve"> </w:t>
      </w:r>
      <w:r>
        <w:t xml:space="preserve">-</w:t>
      </w:r>
      <w:r>
        <w:t xml:space="preserve"> </w:t>
      </w:r>
      <w:r>
        <w:t xml:space="preserve">July</w:t>
      </w:r>
      <w:r>
        <w:t xml:space="preserve"> </w:t>
      </w:r>
      <w:r>
        <w:t xml:space="preserve">2026</w:t>
      </w:r>
    </w:p>
    <w:p>
      <w:pPr>
        <w:pStyle w:val="FirstParagraph"/>
      </w:pPr>
      <w:r>
        <w:drawing>
          <wp:inline>
            <wp:extent cx="4617720" cy="4617720"/>
            <wp:effectExtent b="0" l="0" r="0" t="0"/>
            <wp:docPr descr="Image: rId20.png" title="" id="21" name="Picture"/>
            <a:graphic>
              <a:graphicData uri="http://schemas.openxmlformats.org/drawingml/2006/picture">
                <pic:pic>
                  <pic:nvPicPr>
                    <pic:cNvPr descr="figures/figure02_splat_lattice.png" id="22" name="Picture"/>
                    <pic:cNvPicPr>
                      <a:picLocks noChangeArrowheads="1" noChangeAspect="1"/>
                    </pic:cNvPicPr>
                  </pic:nvPicPr>
                  <pic:blipFill>
                    <a:blip r:embed="rId20"/>
                    <a:stretch>
                      <a:fillRect/>
                    </a:stretch>
                  </pic:blipFill>
                  <pic:spPr bwMode="auto">
                    <a:xfrm>
                      <a:off x="0" y="0"/>
                      <a:ext cx="4617720" cy="4617720"/>
                    </a:xfrm>
                    <a:prstGeom prst="rect">
                      <a:avLst/>
                    </a:prstGeom>
                    <a:noFill/>
                    <a:ln w="9525">
                      <a:noFill/>
                      <a:headEnd/>
                      <a:tailEnd/>
                    </a:ln>
                  </pic:spPr>
                </pic:pic>
              </a:graphicData>
            </a:graphic>
          </wp:inline>
        </w:drawing>
      </w:r>
    </w:p>
    <w:p>
      <w:pPr>
        <w:pStyle w:val="BodyText"/>
      </w:pPr>
      <w:r>
        <w:rPr>
          <w:b/>
          <w:bCs/>
        </w:rPr>
        <w:t xml:space="preserve">A Ubiquity Federation estate for governing state, belief, agency, correction, and lawful closure across physical, virtual, temporal, economic, ecological, and institutional systems.</w:t>
      </w:r>
    </w:p>
    <w:p>
      <w:pPr>
        <w:pStyle w:val="BodyText"/>
      </w:pPr>
      <w:r>
        <w:t xml:space="preserve">Copyright (c) 2026 Prompted LLC. All rights reserved.</w:t>
      </w:r>
    </w:p>
    <w:p>
      <w:pPr>
        <w:pStyle w:val="BodyText"/>
      </w:pPr>
      <w:r>
        <w:t xml:space="preserve">This document supersedes the architectural framing of the prior FORKED v1.0 whitepaper. It is a new construction from the Ubiquity parent substrate, current FORKED native implementation, source artifacts, executable components, and bounded evidence register. The earlier paper remains lineage, not authority.</w:t>
      </w:r>
    </w:p>
    <w:p>
      <w:r>
        <w:br w:type="page"/>
      </w:r>
    </w:p>
    <w:bookmarkStart w:id="23" w:name="contents"/>
    <w:p>
      <w:pPr>
        <w:pStyle w:val="Heading1"/>
      </w:pPr>
      <w:r>
        <w:t xml:space="preserve">Contents</w:t>
      </w:r>
    </w:p>
    <w:p>
      <w:pPr>
        <w:pStyle w:val="FirstParagraph"/>
      </w:pPr>
      <w:r>
        <w:rPr>
          <w:b/>
          <w:bCs/>
        </w:rPr>
        <w:t xml:space="preserve">Part I - The object and its boundary</w:t>
      </w:r>
      <w:r>
        <w:t xml:space="preserve"> </w:t>
      </w:r>
      <w:r>
        <w:t xml:space="preserve">- 1. The denominator is accepted state transition</w:t>
      </w:r>
      <w:r>
        <w:t xml:space="preserve"> </w:t>
      </w:r>
      <w:r>
        <w:t xml:space="preserve">- 2. FORKED is an estate, not the parent</w:t>
      </w:r>
      <w:r>
        <w:t xml:space="preserve"> </w:t>
      </w:r>
      <w:r>
        <w:t xml:space="preserve">- 3. The current capability boundary</w:t>
      </w:r>
      <w:r>
        <w:t xml:space="preserve"> </w:t>
      </w:r>
      <w:r>
        <w:t xml:space="preserve">- 4. Why the prior whitepaper was insufficient</w:t>
      </w:r>
      <w:r>
        <w:t xml:space="preserve"> </w:t>
      </w:r>
      <w:r>
        <w:t xml:space="preserve">- 5. Public safety and release boundary</w:t>
      </w:r>
    </w:p>
    <w:p>
      <w:pPr>
        <w:pStyle w:val="BodyText"/>
      </w:pPr>
      <w:r>
        <w:rPr>
          <w:b/>
          <w:bCs/>
        </w:rPr>
        <w:t xml:space="preserve">Part II - Parent topology, splat mechanics, and suspension</w:t>
      </w:r>
      <w:r>
        <w:t xml:space="preserve"> </w:t>
      </w:r>
      <w:r>
        <w:t xml:space="preserve">- 6. Governed quivers as responsibility topology</w:t>
      </w:r>
      <w:r>
        <w:t xml:space="preserve"> </w:t>
      </w:r>
      <w:r>
        <w:t xml:space="preserve">- 7. Classification is the lawful traversal set</w:t>
      </w:r>
      <w:r>
        <w:t xml:space="preserve"> </w:t>
      </w:r>
      <w:r>
        <w:t xml:space="preserve">- 8. The splat as a lawful local field</w:t>
      </w:r>
      <w:r>
        <w:t xml:space="preserve"> </w:t>
      </w:r>
      <w:r>
        <w:t xml:space="preserve">- 9. The held-open center</w:t>
      </w:r>
      <w:r>
        <w:t xml:space="preserve"> </w:t>
      </w:r>
      <w:r>
        <w:t xml:space="preserve">- 10. Six facets as a partially recursive fractal</w:t>
      </w:r>
      <w:r>
        <w:t xml:space="preserve"> </w:t>
      </w:r>
      <w:r>
        <w:t xml:space="preserve">- 11. Working centroids, gauges, and non-sovereign models</w:t>
      </w:r>
      <w:r>
        <w:t xml:space="preserve"> </w:t>
      </w:r>
      <w:r>
        <w:t xml:space="preserve">- 12. Suspension is a governed state, not a mood</w:t>
      </w:r>
      <w:r>
        <w:t xml:space="preserve"> </w:t>
      </w:r>
      <w:r>
        <w:t xml:space="preserve">- 13. Mechanical operators: cables, winches, clamps, absorbers, and fuses</w:t>
      </w:r>
      <w:r>
        <w:t xml:space="preserve"> </w:t>
      </w:r>
      <w:r>
        <w:t xml:space="preserve">- 14. Responsibility classes select the assembly</w:t>
      </w:r>
      <w:r>
        <w:t xml:space="preserve"> </w:t>
      </w:r>
      <w:r>
        <w:t xml:space="preserve">- 15. Stabilization, declaration, and terminalization</w:t>
      </w:r>
      <w:r>
        <w:t xml:space="preserve"> </w:t>
      </w:r>
      <w:r>
        <w:t xml:space="preserve">- 16. Quivers preserve recurrence; DAGs discharge responsibility</w:t>
      </w:r>
    </w:p>
    <w:p>
      <w:pPr>
        <w:pStyle w:val="BodyText"/>
      </w:pPr>
      <w:r>
        <w:rPr>
          <w:b/>
          <w:bCs/>
        </w:rPr>
        <w:t xml:space="preserve">Part III - Terrain, time, trajectory, and fables</w:t>
      </w:r>
      <w:r>
        <w:t xml:space="preserve"> </w:t>
      </w:r>
      <w:r>
        <w:t xml:space="preserve">- 17. Terrain shape outranks memory salience</w:t>
      </w:r>
      <w:r>
        <w:t xml:space="preserve"> </w:t>
      </w:r>
      <w:r>
        <w:t xml:space="preserve">- 18. Recency, currentness, and temporal jurisdiction</w:t>
      </w:r>
      <w:r>
        <w:t xml:space="preserve"> </w:t>
      </w:r>
      <w:r>
        <w:t xml:space="preserve">- 19. Trajectory is a first-class object</w:t>
      </w:r>
      <w:r>
        <w:t xml:space="preserve"> </w:t>
      </w:r>
      <w:r>
        <w:t xml:space="preserve">- 20. Fables as compact trajectory splats</w:t>
      </w:r>
      <w:r>
        <w:t xml:space="preserve"> </w:t>
      </w:r>
      <w:r>
        <w:t xml:space="preserve">- 21. Point-of-no-return mechanics</w:t>
      </w:r>
      <w:r>
        <w:t xml:space="preserve"> </w:t>
      </w:r>
      <w:r>
        <w:t xml:space="preserve">- 22. Blast radius and proximity</w:t>
      </w:r>
      <w:r>
        <w:t xml:space="preserve"> </w:t>
      </w:r>
      <w:r>
        <w:t xml:space="preserve">- 23. Natural language as projection, not source</w:t>
      </w:r>
      <w:r>
        <w:t xml:space="preserve"> </w:t>
      </w:r>
      <w:r>
        <w:t xml:space="preserve">- 24. Training the cables rather than the slogan</w:t>
      </w:r>
      <w:r>
        <w:t xml:space="preserve"> </w:t>
      </w:r>
      <w:r>
        <w:t xml:space="preserve">- 25. Fables remain non-citable pressure</w:t>
      </w:r>
    </w:p>
    <w:p>
      <w:pPr>
        <w:pStyle w:val="BodyText"/>
      </w:pPr>
      <w:r>
        <w:rPr>
          <w:b/>
          <w:bCs/>
        </w:rPr>
        <w:t xml:space="preserve">Part IV - Observer-indexed reality, agency, and correction</w:t>
      </w:r>
      <w:r>
        <w:t xml:space="preserve"> </w:t>
      </w:r>
      <w:r>
        <w:t xml:space="preserve">- 26. One world, multiple reachable states</w:t>
      </w:r>
      <w:r>
        <w:t xml:space="preserve"> </w:t>
      </w:r>
      <w:r>
        <w:t xml:space="preserve">- 27. TargetState and StateTransition</w:t>
      </w:r>
      <w:r>
        <w:t xml:space="preserve"> </w:t>
      </w:r>
      <w:r>
        <w:t xml:space="preserve">- 28. SightState and WasInSight</w:t>
      </w:r>
      <w:r>
        <w:t xml:space="preserve"> </w:t>
      </w:r>
      <w:r>
        <w:t xml:space="preserve">- 29. Reaction receipts and belief-state estimation</w:t>
      </w:r>
      <w:r>
        <w:t xml:space="preserve"> </w:t>
      </w:r>
      <w:r>
        <w:t xml:space="preserve">- 30. The human is the reality-mutation boundary</w:t>
      </w:r>
      <w:r>
        <w:t xml:space="preserve"> </w:t>
      </w:r>
      <w:r>
        <w:t xml:space="preserve">- 31. AgencyReceipt and liability geometry</w:t>
      </w:r>
      <w:r>
        <w:t xml:space="preserve"> </w:t>
      </w:r>
      <w:r>
        <w:t xml:space="preserve">- 32. Appropriate reliance rather than maximal trust</w:t>
      </w:r>
      <w:r>
        <w:t xml:space="preserve"> </w:t>
      </w:r>
      <w:r>
        <w:t xml:space="preserve">- 33. Deterministic authority and probabilistic inference</w:t>
      </w:r>
      <w:r>
        <w:t xml:space="preserve"> </w:t>
      </w:r>
      <w:r>
        <w:t xml:space="preserve">- 34. Source-time, runtime identity, and conformation</w:t>
      </w:r>
      <w:r>
        <w:t xml:space="preserve"> </w:t>
      </w:r>
      <w:r>
        <w:t xml:space="preserve">- 35. Observer-indexed carriers</w:t>
      </w:r>
      <w:r>
        <w:t xml:space="preserve"> </w:t>
      </w:r>
      <w:r>
        <w:t xml:space="preserve">- 36. Multimodal disagreement as evidence, not noise</w:t>
      </w:r>
      <w:r>
        <w:t xml:space="preserve"> </w:t>
      </w:r>
      <w:r>
        <w:t xml:space="preserve">- 37. Correction graphs and historical contamination</w:t>
      </w:r>
      <w:r>
        <w:t xml:space="preserve"> </w:t>
      </w:r>
      <w:r>
        <w:t xml:space="preserve">- 38. Hidden dependencies are the false-stability boundary</w:t>
      </w:r>
    </w:p>
    <w:p>
      <w:pPr>
        <w:pStyle w:val="BodyText"/>
      </w:pPr>
      <w:r>
        <w:rPr>
          <w:b/>
          <w:bCs/>
        </w:rPr>
        <w:t xml:space="preserve">Part V - Mission geometry and wider native lanes</w:t>
      </w:r>
      <w:r>
        <w:t xml:space="preserve"> </w:t>
      </w:r>
      <w:r>
        <w:t xml:space="preserve">- 39. Horizon geometry: task, mission, battle, campaign, war, institution</w:t>
      </w:r>
      <w:r>
        <w:t xml:space="preserve"> </w:t>
      </w:r>
      <w:r>
        <w:t xml:space="preserve">- 40. Strategy enters as a constraint field</w:t>
      </w:r>
      <w:r>
        <w:t xml:space="preserve"> </w:t>
      </w:r>
      <w:r>
        <w:t xml:space="preserve">- 41. Physical sensing and multimodal conformation</w:t>
      </w:r>
      <w:r>
        <w:t xml:space="preserve"> </w:t>
      </w:r>
      <w:r>
        <w:t xml:space="preserve">- 42. Virtual and augmented environments</w:t>
      </w:r>
      <w:r>
        <w:t xml:space="preserve"> </w:t>
      </w:r>
      <w:r>
        <w:t xml:space="preserve">- 43. HUNGER: scarcity as constitutional pressure</w:t>
      </w:r>
      <w:r>
        <w:t xml:space="preserve"> </w:t>
      </w:r>
      <w:r>
        <w:t xml:space="preserve">- 44. The four-act constitutional biome</w:t>
      </w:r>
      <w:r>
        <w:t xml:space="preserve"> </w:t>
      </w:r>
      <w:r>
        <w:t xml:space="preserve">- 45. Behavioral diversity as survival geometry</w:t>
      </w:r>
      <w:r>
        <w:t xml:space="preserve"> </w:t>
      </w:r>
      <w:r>
        <w:t xml:space="preserve">- 46. Cross-biome visas and standing non-transfer</w:t>
      </w:r>
      <w:r>
        <w:t xml:space="preserve"> </w:t>
      </w:r>
      <w:r>
        <w:t xml:space="preserve">- 47. Citizen lifecycle and methylation</w:t>
      </w:r>
      <w:r>
        <w:t xml:space="preserve"> </w:t>
      </w:r>
      <w:r>
        <w:t xml:space="preserve">- 48. Sensory work without continuous governance noise</w:t>
      </w:r>
      <w:r>
        <w:t xml:space="preserve"> </w:t>
      </w:r>
      <w:r>
        <w:t xml:space="preserve">- 49. Remote compute and sovereignty-aware egress</w:t>
      </w:r>
      <w:r>
        <w:t xml:space="preserve"> </w:t>
      </w:r>
      <w:r>
        <w:t xml:space="preserve">- 50. Held-anchor economics</w:t>
      </w:r>
      <w:r>
        <w:t xml:space="preserve"> </w:t>
      </w:r>
      <w:r>
        <w:t xml:space="preserve">- 51. Economics as reachable-path geometry</w:t>
      </w:r>
      <w:r>
        <w:t xml:space="preserve"> </w:t>
      </w:r>
      <w:r>
        <w:t xml:space="preserve">- 52. Cache poisoning as cognitive propagation</w:t>
      </w:r>
      <w:r>
        <w:t xml:space="preserve"> </w:t>
      </w:r>
      <w:r>
        <w:t xml:space="preserve">- 53. Terrain inversion and hidden-edge discovery</w:t>
      </w:r>
      <w:r>
        <w:t xml:space="preserve"> </w:t>
      </w:r>
      <w:r>
        <w:t xml:space="preserve">- 54. One parent architecture under different physics</w:t>
      </w:r>
    </w:p>
    <w:p>
      <w:pPr>
        <w:pStyle w:val="BodyText"/>
      </w:pPr>
      <w:r>
        <w:rPr>
          <w:b/>
          <w:bCs/>
        </w:rPr>
        <w:t xml:space="preserve">Part VI - FORKED Range, implementation, and evidence</w:t>
      </w:r>
      <w:r>
        <w:t xml:space="preserve"> </w:t>
      </w:r>
      <w:r>
        <w:t xml:space="preserve">- 55. FORKED Range as the estate’s proving surface</w:t>
      </w:r>
      <w:r>
        <w:t xml:space="preserve"> </w:t>
      </w:r>
      <w:r>
        <w:t xml:space="preserve">- 56. Native module map</w:t>
      </w:r>
      <w:r>
        <w:t xml:space="preserve"> </w:t>
      </w:r>
      <w:r>
        <w:t xml:space="preserve">- 57. Schema surface</w:t>
      </w:r>
      <w:r>
        <w:t xml:space="preserve"> </w:t>
      </w:r>
      <w:r>
        <w:t xml:space="preserve">- 58. Reproducibility and source lineage</w:t>
      </w:r>
      <w:r>
        <w:t xml:space="preserve"> </w:t>
      </w:r>
      <w:r>
        <w:t xml:space="preserve">- 59. Evidence ladder</w:t>
      </w:r>
      <w:r>
        <w:t xml:space="preserve"> </w:t>
      </w:r>
      <w:r>
        <w:t xml:space="preserve">- 60. The first experimental discharge and its correction</w:t>
      </w:r>
      <w:r>
        <w:t xml:space="preserve"> </w:t>
      </w:r>
      <w:r>
        <w:t xml:space="preserve">- 61. Native campaign results</w:t>
      </w:r>
      <w:r>
        <w:t xml:space="preserve"> </w:t>
      </w:r>
      <w:r>
        <w:t xml:space="preserve">- 62. What the current evidence establishes</w:t>
      </w:r>
      <w:r>
        <w:t xml:space="preserve"> </w:t>
      </w:r>
      <w:r>
        <w:t xml:space="preserve">- 63. Range benchmark families</w:t>
      </w:r>
      <w:r>
        <w:t xml:space="preserve"> </w:t>
      </w:r>
      <w:r>
        <w:t xml:space="preserve">- 64. Hardware-in-the-loop architecture</w:t>
      </w:r>
      <w:r>
        <w:t xml:space="preserve"> </w:t>
      </w:r>
      <w:r>
        <w:t xml:space="preserve">- 65. Deployment profiles</w:t>
      </w:r>
      <w:r>
        <w:t xml:space="preserve"> </w:t>
      </w:r>
      <w:r>
        <w:t xml:space="preserve">- 66. Assurance cases and certification</w:t>
      </w:r>
      <w:r>
        <w:t xml:space="preserve"> </w:t>
      </w:r>
      <w:r>
        <w:t xml:space="preserve">- 67. Commercial architecture</w:t>
      </w:r>
    </w:p>
    <w:p>
      <w:pPr>
        <w:pStyle w:val="BodyText"/>
      </w:pPr>
      <w:r>
        <w:rPr>
          <w:b/>
          <w:bCs/>
        </w:rPr>
        <w:t xml:space="preserve">Part VII - Research program, governance, and conclusion</w:t>
      </w:r>
      <w:r>
        <w:t xml:space="preserve"> </w:t>
      </w:r>
      <w:r>
        <w:t xml:space="preserve">- 68. Research architecture: one estate, multiple falsifiable papers</w:t>
      </w:r>
      <w:r>
        <w:t xml:space="preserve"> </w:t>
      </w:r>
      <w:r>
        <w:t xml:space="preserve">- 69. Preregistration and release discipline</w:t>
      </w:r>
      <w:r>
        <w:t xml:space="preserve"> </w:t>
      </w:r>
      <w:r>
        <w:t xml:space="preserve">- 70. Governance of quantitative thresholds</w:t>
      </w:r>
      <w:r>
        <w:t xml:space="preserve"> </w:t>
      </w:r>
      <w:r>
        <w:t xml:space="preserve">- 71. Security model</w:t>
      </w:r>
      <w:r>
        <w:t xml:space="preserve"> </w:t>
      </w:r>
      <w:r>
        <w:t xml:space="preserve">- 72. Privacy and dignity</w:t>
      </w:r>
      <w:r>
        <w:t xml:space="preserve"> </w:t>
      </w:r>
      <w:r>
        <w:t xml:space="preserve">- 73. Law, authority, and armed-conflict boundary</w:t>
      </w:r>
      <w:r>
        <w:t xml:space="preserve"> </w:t>
      </w:r>
      <w:r>
        <w:t xml:space="preserve">- 74. Non-universality by design</w:t>
      </w:r>
      <w:r>
        <w:t xml:space="preserve"> </w:t>
      </w:r>
      <w:r>
        <w:t xml:space="preserve">- 75. Limitations</w:t>
      </w:r>
      <w:r>
        <w:t xml:space="preserve"> </w:t>
      </w:r>
      <w:r>
        <w:t xml:space="preserve">- 76. Falsifiers for the whole estate thesis</w:t>
      </w:r>
      <w:r>
        <w:t xml:space="preserve"> </w:t>
      </w:r>
      <w:r>
        <w:t xml:space="preserve">- 77. Roadmap</w:t>
      </w:r>
      <w:r>
        <w:t xml:space="preserve"> </w:t>
      </w:r>
      <w:r>
        <w:t xml:space="preserve">- 78. Conclusion</w:t>
      </w:r>
    </w:p>
    <w:p>
      <w:pPr>
        <w:pStyle w:val="BodyText"/>
      </w:pPr>
      <w:r>
        <w:rPr>
          <w:b/>
          <w:bCs/>
        </w:rPr>
        <w:t xml:space="preserve">Appendices</w:t>
      </w:r>
      <w:r>
        <w:t xml:space="preserve"> </w:t>
      </w:r>
      <w:r>
        <w:t xml:space="preserve">- A - Formal objects and notation</w:t>
      </w:r>
      <w:r>
        <w:t xml:space="preserve"> </w:t>
      </w:r>
      <w:r>
        <w:t xml:space="preserve">- B - Design lemmas</w:t>
      </w:r>
      <w:r>
        <w:t xml:space="preserve"> </w:t>
      </w:r>
      <w:r>
        <w:t xml:space="preserve">- C - Reference algorithms</w:t>
      </w:r>
      <w:r>
        <w:t xml:space="preserve"> </w:t>
      </w:r>
      <w:r>
        <w:t xml:space="preserve">- D - Core data objects</w:t>
      </w:r>
      <w:r>
        <w:t xml:space="preserve"> </w:t>
      </w:r>
      <w:r>
        <w:t xml:space="preserve">- E - Capability status cards</w:t>
      </w:r>
      <w:r>
        <w:t xml:space="preserve"> </w:t>
      </w:r>
      <w:r>
        <w:t xml:space="preserve">- F - Experiment register</w:t>
      </w:r>
      <w:r>
        <w:t xml:space="preserve"> </w:t>
      </w:r>
      <w:r>
        <w:t xml:space="preserve">- G - Source and provenance ledger</w:t>
      </w:r>
      <w:r>
        <w:t xml:space="preserve"> </w:t>
      </w:r>
      <w:r>
        <w:t xml:space="preserve">- H - Native module and schema map</w:t>
      </w:r>
      <w:r>
        <w:t xml:space="preserve"> </w:t>
      </w:r>
      <w:r>
        <w:t xml:space="preserve">- I - Glossary</w:t>
      </w:r>
      <w:r>
        <w:t xml:space="preserve"> </w:t>
      </w:r>
      <w:r>
        <w:t xml:space="preserve">- J - Reproduction and audit procedure</w:t>
      </w:r>
      <w:r>
        <w:t xml:space="preserve"> </w:t>
      </w:r>
      <w:r>
        <w:t xml:space="preserve">- K - Public release boundary</w:t>
      </w:r>
      <w:r>
        <w:t xml:space="preserve"> </w:t>
      </w:r>
      <w:r>
        <w:t xml:space="preserve">- L - Full claim register</w:t>
      </w:r>
      <w:r>
        <w:t xml:space="preserve"> </w:t>
      </w:r>
      <w:r>
        <w:t xml:space="preserve">- M - Distribution contents</w:t>
      </w:r>
      <w:r>
        <w:t xml:space="preserve"> </w:t>
      </w:r>
      <w:r>
        <w:t xml:space="preserve">- References</w:t>
      </w:r>
    </w:p>
    <w:p>
      <w:r>
        <w:br w:type="page"/>
      </w:r>
    </w:p>
    <w:bookmarkEnd w:id="23"/>
    <w:bookmarkStart w:id="24" w:name="abstract"/>
    <w:p>
      <w:pPr>
        <w:pStyle w:val="Heading1"/>
      </w:pPr>
      <w:r>
        <w:t xml:space="preserve">Abstract</w:t>
      </w:r>
    </w:p>
    <w:p>
      <w:pPr>
        <w:pStyle w:val="FirstParagraph"/>
      </w:pPr>
      <w:r>
        <w:t xml:space="preserve">FORKED is an internally owned and managed estate of the Ubiquity Federation, Prompted LLC’s flagship governance substrate for sovereign adaptive systems. It specializes the parent architecture for observer-indexed reality: the condition in which physical, virtual, institutional, and human actors do not receive a universal state directly, but encounter bounded views transformed by sensors, interfaces, models, language, authority, memory, timing, and location. The estate governs the path by which those views become inferences, declarations, actions, records, and future priors.</w:t>
      </w:r>
    </w:p>
    <w:p>
      <w:pPr>
        <w:pStyle w:val="BodyText"/>
      </w:pPr>
      <w:r>
        <w:t xml:space="preserve">The foundational object is not a vector, score, label, or prompt. It is a receipt-bearing</w:t>
      </w:r>
      <w:r>
        <w:t xml:space="preserve"> </w:t>
      </w:r>
      <w:r>
        <w:rPr>
          <w:b/>
          <w:bCs/>
        </w:rPr>
        <w:t xml:space="preserve">splat lattice</w:t>
      </w:r>
      <w:r>
        <w:t xml:space="preserve">: a conformation-bound lawful slice of a governed possibility field. Each splat carries six distinct facets - KAT, APO, PAR, PLE, ENA, and TEL - together with evidence lanes, source-tense, authority, lifecycle, live and suspended hypotheses, forbidden paths, correction triggers, and one or more movable working centroids. A held-open center remains categorically outside the inhabitable state space. The architecture therefore permits local closure without allowing a local interpretation to crown itself as the whole.</w:t>
      </w:r>
    </w:p>
    <w:p>
      <w:pPr>
        <w:pStyle w:val="BodyText"/>
      </w:pPr>
      <w:r>
        <w:t xml:space="preserve">FORKED adds a</w:t>
      </w:r>
      <w:r>
        <w:t xml:space="preserve"> </w:t>
      </w:r>
      <w:r>
        <w:rPr>
          <w:b/>
          <w:bCs/>
        </w:rPr>
        <w:t xml:space="preserve">suspension lattice</w:t>
      </w:r>
      <w:r>
        <w:t xml:space="preserve"> </w:t>
      </w:r>
      <w:r>
        <w:t xml:space="preserve">around that object. The lattice uses typed cables, winches, clamps, shock absorbers, fuses, and responsibility classes to regulate when a branch should remain open, when more evidence is required, when action is lawful, and when continued hesitation becomes the more dangerous failure. The relevant threshold is not confidence alone. Stabilization is a scoped meet across evidence, exclusions, authority, standing, currentness, dependency coverage, meaningful agency, correction capacity, economic feasibility, and mission horizon. Declaration and terminalization remain separate acts.</w:t>
      </w:r>
    </w:p>
    <w:p>
      <w:pPr>
        <w:pStyle w:val="BodyText"/>
      </w:pPr>
      <w:r>
        <w:t xml:space="preserve">Memory is terrain-shaped rather than recency-first. Prior failures, fables, and precedents receive standing through conformation of causal topology, authority geometry, trajectory phase, point-of-no-return proximity, observer conditions, and horizon. Recency modifies currentness inside a bounded envelope; it does not erase an older shape-isomorphic failure or allow a recent but shape-distant event to dominate. Fables are treated as compact trajectory splats with wisdom and caution in equal standing. They raise the cost of traversal near known failure terrain without becoming proof, command, or permanent suspicion.</w:t>
      </w:r>
    </w:p>
    <w:p>
      <w:pPr>
        <w:pStyle w:val="BodyText"/>
      </w:pPr>
      <w:r>
        <w:t xml:space="preserve">The same architecture extends across wider native lanes. Observer state is separated into physical, functional, mission, sensed, rendered, inferred, declared, verified, and remembered state. Sight is decomposed into geometry, sensor envelope, sampling, transport, rendering, attention, classification, acknowledgment, and action. Source-time is bitemporal. Human presence is distinguished from meaningful agency and from liability. Mission, battle, campaign, war, strategic, institutional, and civilizational horizons remain separate quivers. Ecological Physarum/Lichen simulations, HUNGER scarcity pressure, held-anchor economic cadence, detached shadow economies, citizen lifecycles, cross-biome visas, sensory TTLs, remote-compute egress, and cache-contamination response are not analogies appended after the fact; they are current native expression lanes that instantiate the same parent mechanics under different physics and authority.</w:t>
      </w:r>
    </w:p>
    <w:p>
      <w:pPr>
        <w:pStyle w:val="BodyText"/>
      </w:pPr>
      <w:r>
        <w:t xml:space="preserve">The paper makes capability status explicit. The Ubiquity parent architecture, production splat mechanics, lifecycle surfaces, source-tense discipline, center exclusion, and lawful-traversal grammar are established capabilities of the originating federation. The FORKED Native Range v1.1 implements the specialized estate locally with executable schemas, tests, simulations, receipts, and a non-canonical parent gate. Component and synthetic campaigns establish bounded behavior of those implementations. Human-subject, hardware, customer, field, and operational performance remain separate empirical lanes. The paper neither understates what is running nor silently expands an internal capability into a universal performance claim.</w:t>
      </w:r>
    </w:p>
    <w:p>
      <w:pPr>
        <w:pStyle w:val="BodyText"/>
      </w:pPr>
      <w:r>
        <w:t xml:space="preserve">The public release is an assurance and research architecture. It does not publish operational targeting logic, weapon-employment instructions, signature recipes, or deployable deception optimization. Its defense relevance lies in mission-state integrity, contested verification resilience, correction survival, and the preservation of human and institutional agency when reality is mediated by increasingly autonomous systems.</w:t>
      </w:r>
    </w:p>
    <w:p>
      <w:pPr>
        <w:pStyle w:val="BodyText"/>
      </w:pPr>
      <w:r>
        <w:rPr>
          <w:b/>
          <w:bCs/>
        </w:rPr>
        <w:t xml:space="preserve">Keywords:</w:t>
      </w:r>
      <w:r>
        <w:t xml:space="preserve"> </w:t>
      </w:r>
      <w:r>
        <w:t xml:space="preserve">Ubiquity Federation; FORKED; observer-indexed reality; splat mechanics; fractal quivers of quivers; suspension lattice; lawful traversal; mission-state integrity; meaningful human agency; provenance; bitemporal state; fable terrain; correction graph; Physarum; assurance.</w:t>
      </w:r>
    </w:p>
    <w:p>
      <w:r>
        <w:br w:type="page"/>
      </w:r>
    </w:p>
    <w:bookmarkEnd w:id="24"/>
    <w:bookmarkStart w:id="28" w:name="executive-statement"/>
    <w:p>
      <w:pPr>
        <w:pStyle w:val="Heading1"/>
      </w:pPr>
      <w:r>
        <w:t xml:space="preserve">Executive statement</w:t>
      </w:r>
    </w:p>
    <w:p>
      <w:pPr>
        <w:pStyle w:val="BlockText"/>
      </w:pPr>
      <w:r>
        <w:rPr>
          <w:b/>
          <w:bCs/>
        </w:rPr>
        <w:t xml:space="preserve">FORKED governs the branch before the branch becomes the world.</w:t>
      </w:r>
    </w:p>
    <w:p>
      <w:pPr>
        <w:pStyle w:val="FirstParagraph"/>
      </w:pPr>
      <w:r>
        <w:t xml:space="preserve">A system acts on a state only after some observer has converted the world into a reachable representation. That observer may be a human body, camera, radar, event sensor, database, model, institutional report, user interface, or memory surface. Every observer is located. Every observer has limited resolution, authority, time, attention, budget, and history. The system’s central problem is therefore not simply whether an answer is accurate. It is whether the architecture can say which state is physical, which is observed, which is inferred, which is projected, which is declared, which is verified, which is remembered, and which may lawfully move the world.</w:t>
      </w:r>
    </w:p>
    <w:p>
      <w:pPr>
        <w:pStyle w:val="BodyText"/>
      </w:pPr>
      <w:r>
        <w:t xml:space="preserve">FORKED is built for that problem. It does not attempt to remove ambiguity by collapsing all lanes into one fused confidence. It constructs enough local order to act while preserving the distinctions that correction will later need. It can close a mission-local branch after the relevant threshold is met without closing the held-open center. It can hold a hypothesis open without turning uncertainty into a virtue. It can impose additional inspection because a trajectory is approaching a known failure surface without converting a fable into accusation. It can preserve meaningful human control without making a human click absorb causality the surrounding system already exercised.</w:t>
      </w:r>
    </w:p>
    <w:p>
      <w:pPr>
        <w:pStyle w:val="BodyText"/>
      </w:pPr>
      <w:r>
        <w:t xml:space="preserve">The parent matters. Ubiquity is the governance substrate; FORKED is one estate inside it. Fractal Quivers of Quivers supplies the living topology of entities, paths, authority, standing, receipts, costs, absorbers, and telos. Production splat mechanics supplies the lawful-slice primitive. FORKED specializes those mechanics around observer divergence, state transition, suspension, declaration, correction, and mission horizons. The relationship is inheritance, not renaming. The estate can recurse and productize its expression. It cannot claim the parent as a FORKED-only invention or promote a local result into federation-wide truth.</w:t>
      </w:r>
    </w:p>
    <w:p>
      <w:pPr>
        <w:pStyle w:val="BodyText"/>
      </w:pPr>
      <w:r>
        <w:t xml:space="preserve">The implementation is already concrete. The current native range carries a six-node parent manifest, six-facet splats, shape-first terrain retrieval, longitudinal trajectories, an executable fable field, responsibility mechanics, DAGs of DAGs, action and delay clamps, mission geometry, SightState, TTL-bound sensory buffers, cache quarantine, citizen lifecycles, HUNGER, a four-act Physarum/Lichen biome, a held-anchor economy, a detached shadow economy, non-speculative pricing, JSON Schemas, run receipts, and a release manifest. Its integrated sequence reaches</w:t>
      </w:r>
      <w:r>
        <w:t xml:space="preserve"> </w:t>
      </w:r>
      <w:r>
        <w:rPr>
          <w:rStyle w:val="VerbatimChar"/>
        </w:rPr>
        <w:t xml:space="preserve">hold -&gt; review -&gt; declare</w:t>
      </w:r>
      <w:r>
        <w:t xml:space="preserve"> </w:t>
      </w:r>
      <w:r>
        <w:t xml:space="preserve">without granting the local package canonical write authority. The implementation is a bounded estate instance, not a speculative diagram.</w:t>
      </w:r>
      <w:r>
        <w:t xml:space="preserve"> </w:t>
      </w:r>
      <w:hyperlink w:anchor="ref-ForkedNative2026">
        <w:r>
          <w:rPr>
            <w:rStyle w:val="Hyperlink"/>
          </w:rPr>
          <w:t xml:space="preserve">[1]</w:t>
        </w:r>
      </w:hyperlink>
      <w:r>
        <w:t xml:space="preserve">,</w:t>
      </w:r>
      <w:r>
        <w:t xml:space="preserve"> </w:t>
      </w:r>
      <w:hyperlink w:anchor="ref-ForkedArchitecture2026">
        <w:r>
          <w:rPr>
            <w:rStyle w:val="Hyperlink"/>
          </w:rPr>
          <w:t xml:space="preserve">[2]</w:t>
        </w:r>
      </w:hyperlink>
    </w:p>
    <w:p>
      <w:pPr>
        <w:pStyle w:val="BodyText"/>
      </w:pPr>
      <w:r>
        <w:t xml:space="preserve">The evidence register is equally explicit. Native tests and component selftests establish that the supplied code does what the tests exercise. Synthetic campaigns show how the mechanisms behave under generated distributions. Those campaigns do not become human, field, hardware, customer, or operational evidence by size. The architecture records the difference rather than using cautious language everywhere or triumphant language nowhere.</w:t>
      </w:r>
    </w:p>
    <w:bookmarkStart w:id="25" w:name="load-bearing-claims"/>
    <w:p>
      <w:pPr>
        <w:pStyle w:val="Heading2"/>
      </w:pPr>
      <w:r>
        <w:t xml:space="preserve">Load-bearing claims</w:t>
      </w:r>
    </w:p>
    <w:p>
      <w:pPr>
        <w:pStyle w:val="Compact"/>
        <w:numPr>
          <w:ilvl w:val="0"/>
          <w:numId w:val="1001"/>
        </w:numPr>
      </w:pPr>
      <w:r>
        <w:rPr>
          <w:b/>
          <w:bCs/>
        </w:rPr>
        <w:t xml:space="preserve">The operating object is a splat lattice, not a vector.</w:t>
      </w:r>
      <w:r>
        <w:t xml:space="preserve"> </w:t>
      </w:r>
      <w:r>
        <w:t xml:space="preserve">Embeddings and scores may navigate the field, but the field retains facets, exclusions, receipts, authority, unresolved branches, and correction conditions.</w:t>
      </w:r>
    </w:p>
    <w:p>
      <w:pPr>
        <w:pStyle w:val="Compact"/>
        <w:numPr>
          <w:ilvl w:val="0"/>
          <w:numId w:val="1001"/>
        </w:numPr>
      </w:pPr>
      <w:r>
        <w:rPr>
          <w:b/>
          <w:bCs/>
        </w:rPr>
        <w:t xml:space="preserve">The center remains open while branches may close.</w:t>
      </w:r>
      <w:r>
        <w:t xml:space="preserve"> </w:t>
      </w:r>
      <w:r>
        <w:t xml:space="preserve">Center exclusion is an anti-capture condition, not a rule against decisions.</w:t>
      </w:r>
    </w:p>
    <w:p>
      <w:pPr>
        <w:pStyle w:val="Compact"/>
        <w:numPr>
          <w:ilvl w:val="0"/>
          <w:numId w:val="1001"/>
        </w:numPr>
      </w:pPr>
      <w:r>
        <w:rPr>
          <w:b/>
          <w:bCs/>
        </w:rPr>
        <w:t xml:space="preserve">Stabilization is responsibility-shaped.</w:t>
      </w:r>
      <w:r>
        <w:t xml:space="preserve"> </w:t>
      </w:r>
      <w:r>
        <w:t xml:space="preserve">Required evidence and mechanical friction scale with reversibility, blast radius, horizon, authority ambiguity, economic envelope, and correction difficulty.</w:t>
      </w:r>
    </w:p>
    <w:p>
      <w:pPr>
        <w:pStyle w:val="Compact"/>
        <w:numPr>
          <w:ilvl w:val="0"/>
          <w:numId w:val="1001"/>
        </w:numPr>
      </w:pPr>
      <w:r>
        <w:rPr>
          <w:b/>
          <w:bCs/>
        </w:rPr>
        <w:t xml:space="preserve">Action and delay are dual hazards.</w:t>
      </w:r>
      <w:r>
        <w:t xml:space="preserve"> </w:t>
      </w:r>
      <w:r>
        <w:t xml:space="preserve">A mature system prevents premature closure and trauma-driven non-closure.</w:t>
      </w:r>
    </w:p>
    <w:p>
      <w:pPr>
        <w:pStyle w:val="Compact"/>
        <w:numPr>
          <w:ilvl w:val="0"/>
          <w:numId w:val="1001"/>
        </w:numPr>
      </w:pPr>
      <w:r>
        <w:rPr>
          <w:b/>
          <w:bCs/>
        </w:rPr>
        <w:t xml:space="preserve">Terrain shape has more standing than recency alone.</w:t>
      </w:r>
      <w:r>
        <w:t xml:space="preserve"> </w:t>
      </w:r>
      <w:r>
        <w:t xml:space="preserve">Currentness matters, but the age of a precedent cannot substitute for conformation.</w:t>
      </w:r>
    </w:p>
    <w:p>
      <w:pPr>
        <w:pStyle w:val="Compact"/>
        <w:numPr>
          <w:ilvl w:val="0"/>
          <w:numId w:val="1001"/>
        </w:numPr>
      </w:pPr>
      <w:r>
        <w:rPr>
          <w:b/>
          <w:bCs/>
        </w:rPr>
        <w:t xml:space="preserve">Fables are trajectory carriers.</w:t>
      </w:r>
      <w:r>
        <w:t xml:space="preserve"> </w:t>
      </w:r>
      <w:r>
        <w:t xml:space="preserve">They can reweight attention and cost without becoming proof or command.</w:t>
      </w:r>
    </w:p>
    <w:p>
      <w:pPr>
        <w:pStyle w:val="Compact"/>
        <w:numPr>
          <w:ilvl w:val="0"/>
          <w:numId w:val="1001"/>
        </w:numPr>
      </w:pPr>
      <w:r>
        <w:rPr>
          <w:b/>
          <w:bCs/>
        </w:rPr>
        <w:t xml:space="preserve">The human is a causal boundary, not a ceremonial click.</w:t>
      </w:r>
      <w:r>
        <w:t xml:space="preserve"> </w:t>
      </w:r>
      <w:r>
        <w:t xml:space="preserve">Meaningful agency requires inspectability, challenge, alternatives, delay, reversal, and liability legibility appropriate to the responsibility class.</w:t>
      </w:r>
    </w:p>
    <w:p>
      <w:pPr>
        <w:pStyle w:val="Compact"/>
        <w:numPr>
          <w:ilvl w:val="0"/>
          <w:numId w:val="1001"/>
        </w:numPr>
      </w:pPr>
      <w:r>
        <w:rPr>
          <w:b/>
          <w:bCs/>
        </w:rPr>
        <w:t xml:space="preserve">DAGs discharge bounded work; quivers preserve living recurrence.</w:t>
      </w:r>
      <w:r>
        <w:t xml:space="preserve"> </w:t>
      </w:r>
      <w:r>
        <w:t xml:space="preserve">The architecture uses both and does not flatten one into the other.</w:t>
      </w:r>
    </w:p>
    <w:p>
      <w:pPr>
        <w:pStyle w:val="Compact"/>
        <w:numPr>
          <w:ilvl w:val="0"/>
          <w:numId w:val="1001"/>
        </w:numPr>
      </w:pPr>
      <w:r>
        <w:rPr>
          <w:b/>
          <w:bCs/>
        </w:rPr>
        <w:t xml:space="preserve">Mission horizons are different axes.</w:t>
      </w:r>
      <w:r>
        <w:t xml:space="preserve"> </w:t>
      </w:r>
      <w:r>
        <w:t xml:space="preserve">Task, mission, battle, campaign, war, and institutional consequence require separate authority and telemetry.</w:t>
      </w:r>
    </w:p>
    <w:p>
      <w:pPr>
        <w:pStyle w:val="Compact"/>
        <w:numPr>
          <w:ilvl w:val="0"/>
          <w:numId w:val="1001"/>
        </w:numPr>
      </w:pPr>
      <w:r>
        <w:rPr>
          <w:b/>
          <w:bCs/>
        </w:rPr>
        <w:t xml:space="preserve">Capability and evidence are different fields.</w:t>
      </w:r>
      <w:r>
        <w:t xml:space="preserve"> </w:t>
      </w:r>
      <w:r>
        <w:t xml:space="preserve">What Ubiquity runs is stated as capability. What experiments support is stated at its tested scope.</w:t>
      </w:r>
    </w:p>
    <w:bookmarkEnd w:id="25"/>
    <w:bookmarkStart w:id="26" w:name="how-to-read-capability-language"/>
    <w:p>
      <w:pPr>
        <w:pStyle w:val="Heading2"/>
      </w:pPr>
      <w:r>
        <w:t xml:space="preserve">How to read capability language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Status</w:t>
            </w:r>
          </w:p>
        </w:tc>
        <w:tc>
          <w:tcPr/>
          <w:p>
            <w:pPr>
              <w:pStyle w:val="Compact"/>
              <w:jc w:val="left"/>
            </w:pPr>
            <w:r>
              <w:t xml:space="preserve">Meaning</w:t>
            </w:r>
          </w:p>
        </w:tc>
        <w:tc>
          <w:tcPr/>
          <w:p>
            <w:pPr>
              <w:pStyle w:val="Compact"/>
              <w:jc w:val="left"/>
            </w:pPr>
            <w:r>
              <w:t xml:space="preserve">Permitted wording</w:t>
            </w:r>
          </w:p>
        </w:tc>
      </w:tr>
      <w:tr>
        <w:tc>
          <w:tcPr/>
          <w:p>
            <w:pPr>
              <w:pStyle w:val="Compact"/>
              <w:jc w:val="left"/>
            </w:pPr>
            <w:r>
              <w:rPr>
                <w:b/>
                <w:bCs/>
              </w:rPr>
              <w:t xml:space="preserve">Established in Ubiquity</w:t>
            </w:r>
          </w:p>
        </w:tc>
        <w:tc>
          <w:tcPr/>
          <w:p>
            <w:pPr>
              <w:pStyle w:val="Compact"/>
              <w:jc w:val="left"/>
            </w:pPr>
            <w:r>
              <w:t xml:space="preserve">Present in the originating federation’s current architecture, runtime, public canonical surface, or executable source.</w:t>
            </w:r>
          </w:p>
        </w:tc>
        <w:tc>
          <w:tcPr/>
          <w:p>
            <w:pPr>
              <w:pStyle w:val="Compact"/>
              <w:jc w:val="left"/>
            </w:pPr>
            <w:r>
              <w:t xml:space="preserve">“</w:t>
            </w:r>
            <w:r>
              <w:t xml:space="preserve">Ubiquity implements…</w:t>
            </w:r>
            <w:r>
              <w:t xml:space="preserve">”</w:t>
            </w:r>
            <w:r>
              <w:t xml:space="preserve"> </w:t>
            </w:r>
            <w:r>
              <w:t xml:space="preserve">or</w:t>
            </w:r>
            <w:r>
              <w:t xml:space="preserve"> </w:t>
            </w:r>
            <w:r>
              <w:t xml:space="preserve">“</w:t>
            </w:r>
            <w:r>
              <w:t xml:space="preserve">The federation uses…</w:t>
            </w:r>
            <w:r>
              <w:t xml:space="preserve">”</w:t>
            </w:r>
          </w:p>
        </w:tc>
      </w:tr>
      <w:tr>
        <w:tc>
          <w:tcPr/>
          <w:p>
            <w:pPr>
              <w:pStyle w:val="Compact"/>
              <w:jc w:val="left"/>
            </w:pPr>
            <w:r>
              <w:rPr>
                <w:b/>
                <w:bCs/>
              </w:rPr>
              <w:t xml:space="preserve">Implemented in FORKED Native</w:t>
            </w:r>
          </w:p>
        </w:tc>
        <w:tc>
          <w:tcPr/>
          <w:p>
            <w:pPr>
              <w:pStyle w:val="Compact"/>
              <w:jc w:val="left"/>
            </w:pPr>
            <w:r>
              <w:t xml:space="preserve">Present in the v1.1 local implementation and exercised by tests or integrated execution.</w:t>
            </w:r>
          </w:p>
        </w:tc>
        <w:tc>
          <w:tcPr/>
          <w:p>
            <w:pPr>
              <w:pStyle w:val="Compact"/>
              <w:jc w:val="left"/>
            </w:pPr>
            <w:r>
              <w:t xml:space="preserve">“</w:t>
            </w:r>
            <w:r>
              <w:t xml:space="preserve">FORKED Native implements…</w:t>
            </w:r>
            <w:r>
              <w:t xml:space="preserve">”</w:t>
            </w:r>
          </w:p>
        </w:tc>
      </w:tr>
      <w:tr>
        <w:tc>
          <w:tcPr/>
          <w:p>
            <w:pPr>
              <w:pStyle w:val="Compact"/>
              <w:jc w:val="left"/>
            </w:pPr>
            <w:r>
              <w:rPr>
                <w:b/>
                <w:bCs/>
              </w:rPr>
              <w:t xml:space="preserve">Component verified</w:t>
            </w:r>
          </w:p>
        </w:tc>
        <w:tc>
          <w:tcPr/>
          <w:p>
            <w:pPr>
              <w:pStyle w:val="Compact"/>
              <w:jc w:val="left"/>
            </w:pPr>
            <w:r>
              <w:t xml:space="preserve">A bounded component passed its declared selftest or verification harness.</w:t>
            </w:r>
          </w:p>
        </w:tc>
        <w:tc>
          <w:tcPr/>
          <w:p>
            <w:pPr>
              <w:pStyle w:val="Compact"/>
              <w:jc w:val="left"/>
            </w:pPr>
            <w:r>
              <w:t xml:space="preserve">“</w:t>
            </w:r>
            <w:r>
              <w:t xml:space="preserve">The component passed… under the recorded environment.</w:t>
            </w:r>
            <w:r>
              <w:t xml:space="preserve">”</w:t>
            </w:r>
          </w:p>
        </w:tc>
      </w:tr>
      <w:tr>
        <w:tc>
          <w:tcPr/>
          <w:p>
            <w:pPr>
              <w:pStyle w:val="Compact"/>
              <w:jc w:val="left"/>
            </w:pPr>
            <w:r>
              <w:rPr>
                <w:b/>
                <w:bCs/>
              </w:rPr>
              <w:t xml:space="preserve">Synthetic observed</w:t>
            </w:r>
          </w:p>
        </w:tc>
        <w:tc>
          <w:tcPr/>
          <w:p>
            <w:pPr>
              <w:pStyle w:val="Compact"/>
              <w:jc w:val="left"/>
            </w:pPr>
            <w:r>
              <w:t xml:space="preserve">A generated campaign produced a reported measurement.</w:t>
            </w:r>
          </w:p>
        </w:tc>
        <w:tc>
          <w:tcPr/>
          <w:p>
            <w:pPr>
              <w:pStyle w:val="Compact"/>
              <w:jc w:val="left"/>
            </w:pPr>
            <w:r>
              <w:t xml:space="preserve">“</w:t>
            </w:r>
            <w:r>
              <w:t xml:space="preserve">In the synthetic campaign…</w:t>
            </w:r>
            <w:r>
              <w:t xml:space="preserve">”</w:t>
            </w:r>
          </w:p>
        </w:tc>
      </w:tr>
      <w:tr>
        <w:tc>
          <w:tcPr/>
          <w:p>
            <w:pPr>
              <w:pStyle w:val="Compact"/>
              <w:jc w:val="left"/>
            </w:pPr>
            <w:r>
              <w:rPr>
                <w:b/>
                <w:bCs/>
              </w:rPr>
              <w:t xml:space="preserve">Research open</w:t>
            </w:r>
          </w:p>
        </w:tc>
        <w:tc>
          <w:tcPr/>
          <w:p>
            <w:pPr>
              <w:pStyle w:val="Compact"/>
              <w:jc w:val="left"/>
            </w:pPr>
            <w:r>
              <w:t xml:space="preserve">Testable proposition not yet established at the human, hardware, field, customer, or operational level.</w:t>
            </w:r>
          </w:p>
        </w:tc>
        <w:tc>
          <w:tcPr/>
          <w:p>
            <w:pPr>
              <w:pStyle w:val="Compact"/>
              <w:jc w:val="left"/>
            </w:pPr>
            <w:r>
              <w:t xml:space="preserve">“</w:t>
            </w:r>
            <w:r>
              <w:t xml:space="preserve">The research lane asks whether…</w:t>
            </w:r>
            <w:r>
              <w:t xml:space="preserve">”</w:t>
            </w:r>
          </w:p>
        </w:tc>
      </w:tr>
      <w:tr>
        <w:tc>
          <w:tcPr/>
          <w:p>
            <w:pPr>
              <w:pStyle w:val="Compact"/>
              <w:jc w:val="left"/>
            </w:pPr>
            <w:r>
              <w:rPr>
                <w:b/>
                <w:bCs/>
              </w:rPr>
              <w:t xml:space="preserve">Release restricted</w:t>
            </w:r>
          </w:p>
        </w:tc>
        <w:tc>
          <w:tcPr/>
          <w:p>
            <w:pPr>
              <w:pStyle w:val="Compact"/>
              <w:jc w:val="left"/>
            </w:pPr>
            <w:r>
              <w:t xml:space="preserve">Capability or detail intentionally excluded from the public artifact.</w:t>
            </w:r>
          </w:p>
        </w:tc>
        <w:tc>
          <w:tcPr/>
          <w:p>
            <w:pPr>
              <w:pStyle w:val="Compact"/>
              <w:jc w:val="left"/>
            </w:pPr>
            <w:r>
              <w:t xml:space="preserve">“</w:t>
            </w:r>
            <w:r>
              <w:t xml:space="preserve">The public release does not include…</w:t>
            </w:r>
            <w:r>
              <w:t xml:space="preserve">”</w:t>
            </w:r>
          </w:p>
        </w:tc>
      </w:tr>
    </w:tbl>
    <w:p>
      <w:pPr>
        <w:pStyle w:val="BodyText"/>
      </w:pPr>
      <w:r>
        <w:t xml:space="preserve">This typing avoids two symmetric errors. The first is false humility: describing a running mechanism as merely hypothetical because external replication has not yet occurred. The second is scope laundering: treating an internal implementation or synthetic observation as universal evidence. FORKED refuses both.</w:t>
      </w:r>
    </w:p>
    <w:bookmarkEnd w:id="26"/>
    <w:bookmarkStart w:id="27" w:name="contributions"/>
    <w:p>
      <w:pPr>
        <w:pStyle w:val="Heading2"/>
      </w:pPr>
      <w:r>
        <w:t xml:space="preserve">Contributions</w:t>
      </w:r>
    </w:p>
    <w:p>
      <w:pPr>
        <w:pStyle w:val="FirstParagraph"/>
      </w:pPr>
      <w:r>
        <w:t xml:space="preserve">This whitepaper contributes a new parent-faithful construction of FORKED:</w:t>
      </w:r>
    </w:p>
    <w:p>
      <w:pPr>
        <w:pStyle w:val="Compact"/>
        <w:numPr>
          <w:ilvl w:val="0"/>
          <w:numId w:val="1002"/>
        </w:numPr>
      </w:pPr>
      <w:r>
        <w:t xml:space="preserve">a formal estate boundary inside Ubiquity;</w:t>
      </w:r>
    </w:p>
    <w:p>
      <w:pPr>
        <w:pStyle w:val="Compact"/>
        <w:numPr>
          <w:ilvl w:val="0"/>
          <w:numId w:val="1002"/>
        </w:numPr>
      </w:pPr>
      <w:r>
        <w:t xml:space="preserve">a splat-lattice definition that retains the intermediate structure between latent terrain and natural language;</w:t>
      </w:r>
    </w:p>
    <w:p>
      <w:pPr>
        <w:pStyle w:val="Compact"/>
        <w:numPr>
          <w:ilvl w:val="0"/>
          <w:numId w:val="1002"/>
        </w:numPr>
      </w:pPr>
      <w:r>
        <w:t xml:space="preserve">a six-facet, partially recursive, non-totalizing compute object;</w:t>
      </w:r>
    </w:p>
    <w:p>
      <w:pPr>
        <w:pStyle w:val="Compact"/>
        <w:numPr>
          <w:ilvl w:val="0"/>
          <w:numId w:val="1002"/>
        </w:numPr>
      </w:pPr>
      <w:r>
        <w:t xml:space="preserve">a mechanical suspension architecture with responsibility-indexed cables, winches, clamps, absorbers, and fuses;</w:t>
      </w:r>
    </w:p>
    <w:p>
      <w:pPr>
        <w:pStyle w:val="Compact"/>
        <w:numPr>
          <w:ilvl w:val="0"/>
          <w:numId w:val="1002"/>
        </w:numPr>
      </w:pPr>
      <w:r>
        <w:t xml:space="preserve">a shape-first temporal memory model in which recency is bounded by terrain conformation;</w:t>
      </w:r>
    </w:p>
    <w:p>
      <w:pPr>
        <w:pStyle w:val="Compact"/>
        <w:numPr>
          <w:ilvl w:val="0"/>
          <w:numId w:val="1002"/>
        </w:numPr>
      </w:pPr>
      <w:r>
        <w:t xml:space="preserve">a fable field that preserves both wisdom and caution while attaching longitudinal inversion and PONR mechanics;</w:t>
      </w:r>
    </w:p>
    <w:p>
      <w:pPr>
        <w:pStyle w:val="Compact"/>
        <w:numPr>
          <w:ilvl w:val="0"/>
          <w:numId w:val="1002"/>
        </w:numPr>
      </w:pPr>
      <w:r>
        <w:t xml:space="preserve">observer-indexed state, SightState, bitemporal source-time, and correction-residue models;</w:t>
      </w:r>
    </w:p>
    <w:p>
      <w:pPr>
        <w:pStyle w:val="Compact"/>
        <w:numPr>
          <w:ilvl w:val="0"/>
          <w:numId w:val="1002"/>
        </w:numPr>
      </w:pPr>
      <w:r>
        <w:t xml:space="preserve">meaningful-agency and liability receipts for human-AI collaboration;</w:t>
      </w:r>
    </w:p>
    <w:p>
      <w:pPr>
        <w:pStyle w:val="Compact"/>
        <w:numPr>
          <w:ilvl w:val="0"/>
          <w:numId w:val="1002"/>
        </w:numPr>
      </w:pPr>
      <w:r>
        <w:t xml:space="preserve">mission-horizon geometry that prevents tactical or local states from acquiring strategic authority silently;</w:t>
      </w:r>
    </w:p>
    <w:p>
      <w:pPr>
        <w:pStyle w:val="Compact"/>
        <w:numPr>
          <w:ilvl w:val="0"/>
          <w:numId w:val="1002"/>
        </w:numPr>
      </w:pPr>
      <w:r>
        <w:t xml:space="preserve">ecological, economic, sensory, institutional, and compute expressions of the same parent mechanics;</w:t>
      </w:r>
    </w:p>
    <w:p>
      <w:pPr>
        <w:pStyle w:val="Compact"/>
        <w:numPr>
          <w:ilvl w:val="0"/>
          <w:numId w:val="1002"/>
        </w:numPr>
      </w:pPr>
      <w:r>
        <w:t xml:space="preserve">a current native implementation and evidence register;</w:t>
      </w:r>
    </w:p>
    <w:p>
      <w:pPr>
        <w:pStyle w:val="Compact"/>
        <w:numPr>
          <w:ilvl w:val="0"/>
          <w:numId w:val="1002"/>
        </w:numPr>
      </w:pPr>
      <w:r>
        <w:t xml:space="preserve">an assurance, benchmark, publication, and product roadmap with falsifiers and release boundaries.</w:t>
      </w:r>
    </w:p>
    <w:p>
      <w:r>
        <w:br w:type="page"/>
      </w:r>
    </w:p>
    <w:bookmarkEnd w:id="27"/>
    <w:bookmarkEnd w:id="28"/>
    <w:bookmarkStart w:id="235" w:name="part-i---the-object-and-its-boundary"/>
    <w:p>
      <w:pPr>
        <w:pStyle w:val="Heading1"/>
      </w:pPr>
      <w:r>
        <w:t xml:space="preserve">Part I - The object and its boundary</w:t>
      </w:r>
    </w:p>
    <w:bookmarkStart w:id="29" w:name="X0a745018ae17fc0e87a1fed3ba79dfbf12be948"/>
    <w:p>
      <w:pPr>
        <w:pStyle w:val="Heading2"/>
      </w:pPr>
      <w:r>
        <w:t xml:space="preserve">1. The denominator is accepted state transition</w:t>
      </w:r>
    </w:p>
    <w:p>
      <w:pPr>
        <w:pStyle w:val="FirstParagraph"/>
      </w:pPr>
      <w:r>
        <w:t xml:space="preserve">The visible trigger for FORKED was the language of cost per kill, next-generation sensors, low-cost interceptors, and open-system hardware. That language invites founders to optimize physical effectors and unit economics. Those are legitimate lanes, but they conceal a more general denominator: a physical or virtual event becomes operationally consequential only when an observer or institution accepts a state transition and changes behavior because of it.</w:t>
      </w:r>
    </w:p>
    <w:p>
      <w:pPr>
        <w:pStyle w:val="BodyText"/>
      </w:pPr>
      <w:r>
        <w:t xml:space="preserve">An object may be damaged while remaining mission-capable. A sensor may lose signal while the object remains present. A video may show an explosion without establishing physical destruction. A model may declare a terminal state that the operator accepts. A report may preserve that declaration after the underlying evidence changes. A digital twin may continue to display an object that no longer exists, or erase one that still matters. The decisive transition is therefore not simply</w:t>
      </w:r>
      <w:r>
        <w:t xml:space="preserve"> </w:t>
      </w:r>
      <w:r>
        <w:rPr>
          <w:rStyle w:val="VerbatimChar"/>
        </w:rPr>
        <w:t xml:space="preserve">object -&gt; destroyed</w:t>
      </w:r>
      <w:r>
        <w:t xml:space="preserve">. It is:</w:t>
      </w:r>
    </w:p>
    <w:p>
      <w:pPr>
        <w:pStyle w:val="SourceCode"/>
      </w:pPr>
      <w:r>
        <w:rPr>
          <w:rStyle w:val="VerbatimChar"/>
        </w:rPr>
        <w:t xml:space="preserve">world state</w:t>
      </w:r>
      <w:r>
        <w:br/>
      </w:r>
      <w:r>
        <w:rPr>
          <w:rStyle w:val="VerbatimChar"/>
        </w:rPr>
        <w:t xml:space="preserve">  -&gt; observable surface</w:t>
      </w:r>
      <w:r>
        <w:br/>
      </w:r>
      <w:r>
        <w:rPr>
          <w:rStyle w:val="VerbatimChar"/>
        </w:rPr>
        <w:t xml:space="preserve">  -&gt; rendered state</w:t>
      </w:r>
      <w:r>
        <w:br/>
      </w:r>
      <w:r>
        <w:rPr>
          <w:rStyle w:val="VerbatimChar"/>
        </w:rPr>
        <w:t xml:space="preserve">  -&gt; inferred state</w:t>
      </w:r>
      <w:r>
        <w:br/>
      </w:r>
      <w:r>
        <w:rPr>
          <w:rStyle w:val="VerbatimChar"/>
        </w:rPr>
        <w:t xml:space="preserve">  -&gt; declared state</w:t>
      </w:r>
      <w:r>
        <w:br/>
      </w:r>
      <w:r>
        <w:rPr>
          <w:rStyle w:val="VerbatimChar"/>
        </w:rPr>
        <w:t xml:space="preserve">  -&gt; accepted state</w:t>
      </w:r>
      <w:r>
        <w:br/>
      </w:r>
      <w:r>
        <w:rPr>
          <w:rStyle w:val="VerbatimChar"/>
        </w:rPr>
        <w:t xml:space="preserve">  -&gt; action and record</w:t>
      </w:r>
    </w:p>
    <w:p>
      <w:pPr>
        <w:pStyle w:val="FirstParagraph"/>
      </w:pPr>
      <w:r>
        <w:t xml:space="preserve">FORKED governs this chain. It asks what evidence supports each transition, who had standing to make it, which transformations intervened, what remained hidden, what authority the declaration acquired, what downstream nodes inherited it, and what would be required to correct it. In military assessment doctrine, physical damage, functional damage, and effects on a wider target system are already distinct assessment objects; the architecture generalizes the need to preserve such distinctions rather than substituting a single persuasive cue for the state itself.</w:t>
      </w:r>
      <w:r>
        <w:t xml:space="preserve"> </w:t>
      </w:r>
      <w:hyperlink w:anchor="ref-CJCSI3162">
        <w:r>
          <w:rPr>
            <w:rStyle w:val="Hyperlink"/>
          </w:rPr>
          <w:t xml:space="preserve">[3]</w:t>
        </w:r>
      </w:hyperlink>
    </w:p>
    <w:p>
      <w:pPr>
        <w:pStyle w:val="BodyText"/>
      </w:pPr>
      <w:r>
        <w:t xml:space="preserve">The same denominator appears outside defense. A medical image becomes a diagnosis; a fraud alert becomes an account freeze; a risk score becomes denied credit; a software finding becomes a production block; a sensor anomaly becomes a shutdown; a generated summary becomes organizational memory. In each case, the primary object is not merely the observation. It is the transition by which a bounded view acquires standing to move resources, people, code, or policy.</w:t>
      </w:r>
    </w:p>
    <w:p>
      <w:pPr>
        <w:pStyle w:val="BodyText"/>
      </w:pPr>
      <w:r>
        <w:t xml:space="preserve">This is why observer-indexed reality is not relativism. The architecture does not claim that every view is equally true. It claims that every consequential system must account for the transfer function between the world and the state upon which it acts. Physical constraints still bind. Records still have provenance. Authorities still have jurisdiction. Some hypotheses are disproven. Some paths are forbidden. The observer index tells the system where and how a claim was reachable; it does not dissolve the difference between supported and unsupported claims.</w:t>
      </w:r>
    </w:p>
    <w:p>
      <w:pPr>
        <w:pStyle w:val="BlockText"/>
      </w:pPr>
      <w:r>
        <w:rPr>
          <w:b/>
          <w:bCs/>
        </w:rPr>
        <w:t xml:space="preserve">The strategic object is the closure function: when does the human-machine-institutional system stop asking what happened and begin acting as though the transition is settled?</w:t>
      </w:r>
    </w:p>
    <w:bookmarkEnd w:id="29"/>
    <w:bookmarkStart w:id="33" w:name="forked-is-an-estate-not-the-parent"/>
    <w:p>
      <w:pPr>
        <w:pStyle w:val="Heading2"/>
      </w:pPr>
      <w:r>
        <w:t xml:space="preserve">2. FORKED is an estate, not the parent</w:t>
      </w:r>
    </w:p>
    <w:p>
      <w:pPr>
        <w:pStyle w:val="FirstParagraph"/>
      </w:pPr>
      <w:r>
        <w:t xml:space="preserve">Prompted LLC publicly defines Ubiquity as the governance substrate for sovereign adaptive systems: runtime infrastructure intended to increase AI-mediated capacity without collapsing agency, authorship, judgment, or meaningful contribution. The public stack describes signals, warrants, rules, anchors, rays, absorbers, routing, and operational governance surfaces.</w:t>
      </w:r>
      <w:r>
        <w:t xml:space="preserve"> </w:t>
      </w:r>
      <w:hyperlink w:anchor="ref-Prompted2026Home">
        <w:r>
          <w:rPr>
            <w:rStyle w:val="Hyperlink"/>
          </w:rPr>
          <w:t xml:space="preserve">[4]</w:t>
        </w:r>
      </w:hyperlink>
      <w:r>
        <w:t xml:space="preserve">,</w:t>
      </w:r>
      <w:r>
        <w:t xml:space="preserve"> </w:t>
      </w:r>
      <w:hyperlink w:anchor="ref-Prompted2026Ubiquity">
        <w:r>
          <w:rPr>
            <w:rStyle w:val="Hyperlink"/>
          </w:rPr>
          <w:t xml:space="preserve">[5]</w:t>
        </w:r>
      </w:hyperlink>
      <w:r>
        <w:t xml:space="preserve">,</w:t>
      </w:r>
      <w:r>
        <w:t xml:space="preserve"> </w:t>
      </w:r>
      <w:hyperlink w:anchor="ref-Prompted2026Continuity">
        <w:r>
          <w:rPr>
            <w:rStyle w:val="Hyperlink"/>
          </w:rPr>
          <w:t xml:space="preserve">[6]</w:t>
        </w:r>
      </w:hyperlink>
    </w:p>
    <w:p>
      <w:pPr>
        <w:pStyle w:val="BodyText"/>
      </w:pPr>
      <w:r>
        <w:t xml:space="preserve">FORKED inherits that substrate. It does not replace it.</w:t>
      </w:r>
    </w:p>
    <w:p>
      <w:pPr>
        <w:pStyle w:val="CaptionedFigure"/>
      </w:pPr>
      <w:r>
        <w:drawing>
          <wp:inline>
            <wp:extent cx="4978400" cy="7175500"/>
            <wp:effectExtent b="0" l="0" r="0" t="0"/>
            <wp:docPr descr="Figure 1. Parent-to-estate ordering. FORKED inherits the lawful-motion topology and production splat primitive; the bounded range is a local instance." title="" id="31" name="Picture"/>
            <a:graphic>
              <a:graphicData uri="http://schemas.openxmlformats.org/drawingml/2006/picture">
                <pic:pic>
                  <pic:nvPicPr>
                    <pic:cNvPr descr="figures/figure01_estate_stack.png" id="32" name="Picture"/>
                    <pic:cNvPicPr>
                      <a:picLocks noChangeArrowheads="1" noChangeAspect="1"/>
                    </pic:cNvPicPr>
                  </pic:nvPicPr>
                  <pic:blipFill>
                    <a:blip r:embed="rId30"/>
                    <a:stretch>
                      <a:fillRect/>
                    </a:stretch>
                  </pic:blipFill>
                  <pic:spPr bwMode="auto">
                    <a:xfrm>
                      <a:off x="0" y="0"/>
                      <a:ext cx="4978400" cy="7175500"/>
                    </a:xfrm>
                    <a:prstGeom prst="rect">
                      <a:avLst/>
                    </a:prstGeom>
                    <a:noFill/>
                    <a:ln w="9525">
                      <a:noFill/>
                      <a:headEnd/>
                      <a:tailEnd/>
                    </a:ln>
                  </pic:spPr>
                </pic:pic>
              </a:graphicData>
            </a:graphic>
          </wp:inline>
        </w:drawing>
      </w:r>
    </w:p>
    <w:p>
      <w:pPr>
        <w:pStyle w:val="ImageCaption"/>
      </w:pPr>
      <w:r>
        <w:t xml:space="preserve">Figure 1. Parent-to-estate ordering. FORKED inherits the lawful-motion topology and production splat primitive; the bounded range is a local instance.</w:t>
      </w:r>
    </w:p>
    <w:p>
      <w:pPr>
        <w:pStyle w:val="BodyText"/>
      </w:pPr>
      <w:r>
        <w:t xml:space="preserve">The inheritance relation has four consequences.</w:t>
      </w:r>
    </w:p>
    <w:p>
      <w:pPr>
        <w:pStyle w:val="BodyText"/>
      </w:pPr>
      <w:r>
        <w:t xml:space="preserve">First, FORKED’s classifier is not a specialized model that labels situations as deceptive, dangerous, or closed. Classification remains lawful traversal: the set of actions, holds, reviews, declarations, refusals, and corrections that remain admissible after anchors, exclusions, authority, standing, currentness, lifecycle, receipts, cost, and telos shape the field.</w:t>
      </w:r>
      <w:r>
        <w:t xml:space="preserve"> </w:t>
      </w:r>
      <w:hyperlink w:anchor="ref-Taylor2026FQoQ">
        <w:r>
          <w:rPr>
            <w:rStyle w:val="Hyperlink"/>
          </w:rPr>
          <w:t xml:space="preserve">[7]</w:t>
        </w:r>
      </w:hyperlink>
    </w:p>
    <w:p>
      <w:pPr>
        <w:pStyle w:val="BodyText"/>
      </w:pPr>
      <w:r>
        <w:t xml:space="preserve">Second, the splat is not invented inside FORKED. Production splat mechanics is a federation-wide primitive. FORKED specializes it for observer state, declaration integrity, belief divergence, human agency, mission horizons, and contested verification.</w:t>
      </w:r>
    </w:p>
    <w:p>
      <w:pPr>
        <w:pStyle w:val="BodyText"/>
      </w:pPr>
      <w:r>
        <w:t xml:space="preserve">Third, local FORKED instances do not gain canonical authority merely because they execute successfully. The current native package explicitly sets</w:t>
      </w:r>
      <w:r>
        <w:t xml:space="preserve"> </w:t>
      </w:r>
      <w:r>
        <w:rPr>
          <w:rStyle w:val="VerbatimChar"/>
        </w:rPr>
        <w:t xml:space="preserve">canonical_writer = false</w:t>
      </w:r>
      <w:r>
        <w:t xml:space="preserve"> </w:t>
      </w:r>
      <w:r>
        <w:t xml:space="preserve">and passes results through a parent gate. This prevents a range result, local model, projection, or test harness from modifying the originating federation’s constitutional state.</w:t>
      </w:r>
      <w:r>
        <w:t xml:space="preserve"> </w:t>
      </w:r>
      <w:hyperlink w:anchor="ref-ForkedNative2026">
        <w:r>
          <w:rPr>
            <w:rStyle w:val="Hyperlink"/>
          </w:rPr>
          <w:t xml:space="preserve">[1]</w:t>
        </w:r>
      </w:hyperlink>
      <w:r>
        <w:t xml:space="preserve">,</w:t>
      </w:r>
      <w:r>
        <w:t xml:space="preserve"> </w:t>
      </w:r>
      <w:hyperlink w:anchor="ref-ForkedArchitecture2026">
        <w:r>
          <w:rPr>
            <w:rStyle w:val="Hyperlink"/>
          </w:rPr>
          <w:t xml:space="preserve">[2]</w:t>
        </w:r>
      </w:hyperlink>
    </w:p>
    <w:p>
      <w:pPr>
        <w:pStyle w:val="BodyText"/>
      </w:pPr>
      <w:r>
        <w:t xml:space="preserve">Fourth, the estate may recurse fractally. FORKED Range, FORKED Assurance, FORKED Witness, FORKED Ledger, FORKED Halo, and domain-specific certification programs can each become bounded sub-estates or products. Their local innovations remain attributable to FORKED, but the parent mechanics retain their Ubiquity lineage.</w:t>
      </w:r>
    </w:p>
    <w:bookmarkEnd w:id="33"/>
    <w:bookmarkStart w:id="34" w:name="the-current-capability-boundary"/>
    <w:p>
      <w:pPr>
        <w:pStyle w:val="Heading2"/>
      </w:pPr>
      <w:r>
        <w:t xml:space="preserve">3. The current capability boundary</w:t>
      </w:r>
    </w:p>
    <w:p>
      <w:pPr>
        <w:pStyle w:val="FirstParagraph"/>
      </w:pPr>
      <w:r>
        <w:t xml:space="preserve">The architecture must be read at the correct source-tense.</w:t>
      </w:r>
    </w:p>
    <w:p>
      <w:pPr>
        <w:pStyle w:val="BodyText"/>
      </w:pPr>
      <w:r>
        <w:rPr>
          <w:b/>
          <w:bCs/>
        </w:rPr>
        <w:t xml:space="preserve">Established in Ubiquity:</w:t>
      </w:r>
      <w:r>
        <w:t xml:space="preserve"> </w:t>
      </w:r>
      <w:r>
        <w:t xml:space="preserve">The parent federation currently carries governed quiver topology, production splat mechanics, held-open center doctrine, signals and warrants, lifecycle and promotion gates, source-tense distinctions, governance routing, correction-bearing memory, and public runtime surfaces. These are not proposals in this paper. They are the architecture from which the paper is written.</w:t>
      </w:r>
      <w:r>
        <w:t xml:space="preserve"> </w:t>
      </w:r>
      <w:hyperlink w:anchor="ref-Prompted2026Home">
        <w:r>
          <w:rPr>
            <w:rStyle w:val="Hyperlink"/>
          </w:rPr>
          <w:t xml:space="preserve">[4]</w:t>
        </w:r>
      </w:hyperlink>
      <w:r>
        <w:t xml:space="preserve">,</w:t>
      </w:r>
      <w:r>
        <w:t xml:space="preserve"> </w:t>
      </w:r>
      <w:hyperlink w:anchor="ref-Taylor2026FQoQ">
        <w:r>
          <w:rPr>
            <w:rStyle w:val="Hyperlink"/>
          </w:rPr>
          <w:t xml:space="preserve">[7]</w:t>
        </w:r>
      </w:hyperlink>
      <w:r>
        <w:t xml:space="preserve">,</w:t>
      </w:r>
      <w:r>
        <w:t xml:space="preserve"> </w:t>
      </w:r>
      <w:hyperlink w:anchor="ref-Taylor2026OpenCenter">
        <w:r>
          <w:rPr>
            <w:rStyle w:val="Hyperlink"/>
          </w:rPr>
          <w:t xml:space="preserve">[8]</w:t>
        </w:r>
      </w:hyperlink>
      <w:r>
        <w:t xml:space="preserve">,</w:t>
      </w:r>
      <w:r>
        <w:t xml:space="preserve"> </w:t>
      </w:r>
      <w:hyperlink w:anchor="ref-Prompted2026CGG">
        <w:r>
          <w:rPr>
            <w:rStyle w:val="Hyperlink"/>
          </w:rPr>
          <w:t xml:space="preserve">[9]</w:t>
        </w:r>
      </w:hyperlink>
    </w:p>
    <w:p>
      <w:pPr>
        <w:pStyle w:val="BodyText"/>
      </w:pPr>
      <w:r>
        <w:rPr>
          <w:b/>
          <w:bCs/>
        </w:rPr>
        <w:t xml:space="preserve">Implemented in FORKED Native:</w:t>
      </w:r>
      <w:r>
        <w:t xml:space="preserve"> </w:t>
      </w:r>
      <w:r>
        <w:t xml:space="preserve">The v1.1 range currently implements the estate manifest, parent gate, six-facet splat builder, partially recursive lattice, terrain matcher, trajectory tracker, fable adapter, responsibility mechanics, DAGs of DAGs, threshold engine, suspension controller, mission geometry, observer and SightState models, sensory and cache lanes, citizen lifecycle, HUNGER, biome, economy adapters, schemas, receipts, and release verification.</w:t>
      </w:r>
      <w:r>
        <w:t xml:space="preserve"> </w:t>
      </w:r>
      <w:hyperlink w:anchor="ref-ForkedNative2026">
        <w:r>
          <w:rPr>
            <w:rStyle w:val="Hyperlink"/>
          </w:rPr>
          <w:t xml:space="preserve">[1]</w:t>
        </w:r>
      </w:hyperlink>
      <w:r>
        <w:t xml:space="preserve">,</w:t>
      </w:r>
      <w:r>
        <w:t xml:space="preserve"> </w:t>
      </w:r>
      <w:hyperlink w:anchor="ref-ForkedArchitecture2026">
        <w:r>
          <w:rPr>
            <w:rStyle w:val="Hyperlink"/>
          </w:rPr>
          <w:t xml:space="preserve">[2]</w:t>
        </w:r>
      </w:hyperlink>
    </w:p>
    <w:p>
      <w:pPr>
        <w:pStyle w:val="BodyText"/>
      </w:pPr>
      <w:r>
        <w:rPr>
          <w:b/>
          <w:bCs/>
        </w:rPr>
        <w:t xml:space="preserve">Component verified:</w:t>
      </w:r>
      <w:r>
        <w:t xml:space="preserve"> </w:t>
      </w:r>
      <w:r>
        <w:t xml:space="preserve">The supplied Aesop, economy, cadence, and pricing components pass their recorded selftests. The local package passes its test and verification suites. This establishes implementation behavior under the recorded environment. It does not prove every environment, integration, or threat model.</w:t>
      </w:r>
    </w:p>
    <w:p>
      <w:pPr>
        <w:pStyle w:val="BodyText"/>
      </w:pPr>
      <w:r>
        <w:rPr>
          <w:b/>
          <w:bCs/>
        </w:rPr>
        <w:t xml:space="preserve">Synthetic observed:</w:t>
      </w:r>
      <w:r>
        <w:t xml:space="preserve"> </w:t>
      </w:r>
      <w:r>
        <w:t xml:space="preserve">The experimental and native campaigns measured behavior of generated participants, graphs, sensor traces, fable queries, threshold frames, biome cohorts, and economy runs. Those measurements are receipts of the generators and implementations. They are not human-subject, physical sensor, customer, or field results.</w:t>
      </w:r>
      <w:r>
        <w:t xml:space="preserve"> </w:t>
      </w:r>
      <w:hyperlink w:anchor="ref-ForkedExperiments2026">
        <w:r>
          <w:rPr>
            <w:rStyle w:val="Hyperlink"/>
          </w:rPr>
          <w:t xml:space="preserve">[10]</w:t>
        </w:r>
      </w:hyperlink>
      <w:r>
        <w:t xml:space="preserve">,</w:t>
      </w:r>
      <w:r>
        <w:t xml:space="preserve"> </w:t>
      </w:r>
      <w:hyperlink w:anchor="ref-ForkedCampaign2026">
        <w:r>
          <w:rPr>
            <w:rStyle w:val="Hyperlink"/>
          </w:rPr>
          <w:t xml:space="preserve">[11]</w:t>
        </w:r>
      </w:hyperlink>
    </w:p>
    <w:p>
      <w:pPr>
        <w:pStyle w:val="BodyText"/>
      </w:pPr>
      <w:r>
        <w:rPr>
          <w:b/>
          <w:bCs/>
        </w:rPr>
        <w:t xml:space="preserve">Research open:</w:t>
      </w:r>
      <w:r>
        <w:t xml:space="preserve"> </w:t>
      </w:r>
      <w:r>
        <w:t xml:space="preserve">Claims about human reliance, cultural fable effects, real multimodal systems, physical carriers, hardware roots of trust, customer willingness to pay, mission outcomes, and external institutional adoption require separate evidence.</w:t>
      </w:r>
    </w:p>
    <w:p>
      <w:pPr>
        <w:pStyle w:val="BodyText"/>
      </w:pPr>
      <w:r>
        <w:rPr>
          <w:b/>
          <w:bCs/>
        </w:rPr>
        <w:t xml:space="preserve">Release restricted:</w:t>
      </w:r>
      <w:r>
        <w:t xml:space="preserve"> </w:t>
      </w:r>
      <w:r>
        <w:t xml:space="preserve">The public architecture excludes operational targeting, weapon employment, physical signature recipes, and deployable deception optimization. Contested verification is treated as a threat model and assurance problem. Operationally enabling detail requires a separate lawful authority and release process.</w:t>
      </w:r>
    </w:p>
    <w:p>
      <w:pPr>
        <w:pStyle w:val="BodyText"/>
      </w:pPr>
      <w:r>
        <w:t xml:space="preserve">This boundary is not rhetorical caution. It is part of the system design. A capability can be established in the originating estate while its external performance remains open. A synthetic effect can be numerically strong while its human interpretation remains unproven. A public standard can state intent while loaded runtime bytes differ. FORKED keeps these sentences separate because correction depends on knowing which sentence failed.</w:t>
      </w:r>
    </w:p>
    <w:bookmarkEnd w:id="34"/>
    <w:bookmarkStart w:id="35" w:name="X4b5c71147c2c8a86bf67b7fe4bbd04378daf80d"/>
    <w:p>
      <w:pPr>
        <w:pStyle w:val="Heading2"/>
      </w:pPr>
      <w:r>
        <w:t xml:space="preserve">4. Why the prior whitepaper was insufficient</w:t>
      </w:r>
    </w:p>
    <w:p>
      <w:pPr>
        <w:pStyle w:val="FirstParagraph"/>
      </w:pPr>
      <w:r>
        <w:t xml:space="preserve">The prior FORKED whitepaper identified observer-indexed reality, target-state integrity, belief-state divergence, fable terrain, deterministic authority, and correction graphs. It was useful as a generative perimeter. It did not yet carry the complete parent mechanics at the level required by the current implementation.</w:t>
      </w:r>
    </w:p>
    <w:p>
      <w:pPr>
        <w:pStyle w:val="BodyText"/>
      </w:pPr>
      <w:r>
        <w:t xml:space="preserve">Four shortcomings mattered.</w:t>
      </w:r>
    </w:p>
    <w:p>
      <w:pPr>
        <w:pStyle w:val="BodyText"/>
      </w:pPr>
      <w:r>
        <w:rPr>
          <w:b/>
          <w:bCs/>
        </w:rPr>
        <w:t xml:space="preserve">Mechanisms were described too locally.</w:t>
      </w:r>
      <w:r>
        <w:t xml:space="preserve"> </w:t>
      </w:r>
      <w:r>
        <w:t xml:space="preserve">Branch-preserving interfaces, fable prompts, authority separation, and DAG correction appeared as FORKED-specific devices. In the current architecture they are estate expressions of a larger Ubiquity substrate that determines authority, source-tense, lifecycle, center exclusion, and lawful traversal.</w:t>
      </w:r>
    </w:p>
    <w:p>
      <w:pPr>
        <w:pStyle w:val="BodyText"/>
      </w:pPr>
      <w:r>
        <w:rPr>
          <w:b/>
          <w:bCs/>
        </w:rPr>
        <w:t xml:space="preserve">The splat risked being read as a vector.</w:t>
      </w:r>
      <w:r>
        <w:t xml:space="preserve"> </w:t>
      </w:r>
      <w:r>
        <w:t xml:space="preserve">A working centroid and Mahalanobis distance are useful navigation legs, but they are not the object. The active object is the lattice of facet claims, cross-facet tensions, receipts, hypotheses, authority, horizons, and renarrow triggers that the centroid only indexes.</w:t>
      </w:r>
    </w:p>
    <w:p>
      <w:pPr>
        <w:pStyle w:val="BodyText"/>
      </w:pPr>
      <w:r>
        <w:rPr>
          <w:b/>
          <w:bCs/>
        </w:rPr>
        <w:t xml:space="preserve">Thresholds lacked responsibility mechanics.</w:t>
      </w:r>
      <w:r>
        <w:t xml:space="preserve"> </w:t>
      </w:r>
      <w:r>
        <w:t xml:space="preserve">A fixed branch display or authority gate can improve one failure class and damage another. The first synthetic discharge showed exactly this: branch preservation increased inspection but cost time; fable frames improved encoded accounting while misleading frames increased overcaution; deterministic separation reduced contamination while costing availability. The missing question was not whether to keep or remove these mechanisms. It was how much load each should carry under the actual responsibility, reversibility, horizon, PONR, and economic envelope.</w:t>
      </w:r>
    </w:p>
    <w:p>
      <w:pPr>
        <w:pStyle w:val="BodyText"/>
      </w:pPr>
      <w:r>
        <w:rPr>
          <w:b/>
          <w:bCs/>
        </w:rPr>
        <w:t xml:space="preserve">Wider native lanes were absent.</w:t>
      </w:r>
      <w:r>
        <w:t xml:space="preserve"> </w:t>
      </w:r>
      <w:r>
        <w:t xml:space="preserve">HUNGER, the Physarum/Lichen biome, citizen lifecycle, sensory TTL, cache poisoning, visas, held-anchor economics, and shadow membranes were not side projects. They are runtime expressions of the same architecture. A complete FORKED paper must show how observer-indexed state and suspension operate across those lanes rather than treating a defense-adjacent target-state example as the whole estate.</w:t>
      </w:r>
    </w:p>
    <w:p>
      <w:pPr>
        <w:pStyle w:val="BodyText"/>
      </w:pPr>
      <w:r>
        <w:t xml:space="preserve">This paper therefore starts over. It preserves lineage but does not preserve the old paper’s section order, denominator, or ownership of the mechanics.</w:t>
      </w:r>
    </w:p>
    <w:bookmarkEnd w:id="35"/>
    <w:bookmarkStart w:id="36" w:name="public-safety-and-release-boundary"/>
    <w:p>
      <w:pPr>
        <w:pStyle w:val="Heading2"/>
      </w:pPr>
      <w:r>
        <w:t xml:space="preserve">5. Public safety and release boundary</w:t>
      </w:r>
    </w:p>
    <w:p>
      <w:pPr>
        <w:pStyle w:val="FirstParagraph"/>
      </w:pPr>
      <w:r>
        <w:t xml:space="preserve">FORKED has obvious dual-use implications because any system that models how observers infer state can be used to improve resilience or to exploit inference. The public release resolves this by making the assurance surface complete and the operational offense surface absent.</w:t>
      </w:r>
    </w:p>
    <w:p>
      <w:pPr>
        <w:pStyle w:val="BodyText"/>
      </w:pPr>
      <w:r>
        <w:t xml:space="preserve">Included:</w:t>
      </w:r>
    </w:p>
    <w:p>
      <w:pPr>
        <w:pStyle w:val="Compact"/>
        <w:numPr>
          <w:ilvl w:val="0"/>
          <w:numId w:val="1003"/>
        </w:numPr>
      </w:pPr>
      <w:r>
        <w:t xml:space="preserve">state decomposition;</w:t>
      </w:r>
    </w:p>
    <w:p>
      <w:pPr>
        <w:pStyle w:val="Compact"/>
        <w:numPr>
          <w:ilvl w:val="0"/>
          <w:numId w:val="1003"/>
        </w:numPr>
      </w:pPr>
      <w:r>
        <w:t xml:space="preserve">provenance, source-time, and observer accounting;</w:t>
      </w:r>
    </w:p>
    <w:p>
      <w:pPr>
        <w:pStyle w:val="Compact"/>
        <w:numPr>
          <w:ilvl w:val="0"/>
          <w:numId w:val="1003"/>
        </w:numPr>
      </w:pPr>
      <w:r>
        <w:t xml:space="preserve">human-agency preservation;</w:t>
      </w:r>
    </w:p>
    <w:p>
      <w:pPr>
        <w:pStyle w:val="Compact"/>
        <w:numPr>
          <w:ilvl w:val="0"/>
          <w:numId w:val="1003"/>
        </w:numPr>
      </w:pPr>
      <w:r>
        <w:t xml:space="preserve">multimodal disagreement and correction;</w:t>
      </w:r>
    </w:p>
    <w:p>
      <w:pPr>
        <w:pStyle w:val="Compact"/>
        <w:numPr>
          <w:ilvl w:val="0"/>
          <w:numId w:val="1003"/>
        </w:numPr>
      </w:pPr>
      <w:r>
        <w:t xml:space="preserve">synthetic and hardware-in-the-loop benchmark design;</w:t>
      </w:r>
    </w:p>
    <w:p>
      <w:pPr>
        <w:pStyle w:val="Compact"/>
        <w:numPr>
          <w:ilvl w:val="0"/>
          <w:numId w:val="1003"/>
        </w:numPr>
      </w:pPr>
      <w:r>
        <w:t xml:space="preserve">deterministic authority separation;</w:t>
      </w:r>
    </w:p>
    <w:p>
      <w:pPr>
        <w:pStyle w:val="Compact"/>
        <w:numPr>
          <w:ilvl w:val="0"/>
          <w:numId w:val="1003"/>
        </w:numPr>
      </w:pPr>
      <w:r>
        <w:t xml:space="preserve">public carrier experiments limited to cooperative signaling;</w:t>
      </w:r>
    </w:p>
    <w:p>
      <w:pPr>
        <w:pStyle w:val="Compact"/>
        <w:numPr>
          <w:ilvl w:val="0"/>
          <w:numId w:val="1003"/>
        </w:numPr>
      </w:pPr>
      <w:r>
        <w:t xml:space="preserve">mission-horizon integrity;</w:t>
      </w:r>
    </w:p>
    <w:p>
      <w:pPr>
        <w:pStyle w:val="Compact"/>
        <w:numPr>
          <w:ilvl w:val="0"/>
          <w:numId w:val="1003"/>
        </w:numPr>
      </w:pPr>
      <w:r>
        <w:t xml:space="preserve">lifecycle certification and requalification;</w:t>
      </w:r>
    </w:p>
    <w:p>
      <w:pPr>
        <w:pStyle w:val="Compact"/>
        <w:numPr>
          <w:ilvl w:val="0"/>
          <w:numId w:val="1003"/>
        </w:numPr>
      </w:pPr>
      <w:r>
        <w:t xml:space="preserve">public fable and narrative-adverse-lane research;</w:t>
      </w:r>
    </w:p>
    <w:p>
      <w:pPr>
        <w:pStyle w:val="Compact"/>
        <w:numPr>
          <w:ilvl w:val="0"/>
          <w:numId w:val="1003"/>
        </w:numPr>
      </w:pPr>
      <w:r>
        <w:t xml:space="preserve">ecological, economic, institutional, and compute simulations.</w:t>
      </w:r>
    </w:p>
    <w:p>
      <w:pPr>
        <w:pStyle w:val="FirstParagraph"/>
      </w:pPr>
      <w:r>
        <w:t xml:space="preserve">Excluded:</w:t>
      </w:r>
    </w:p>
    <w:p>
      <w:pPr>
        <w:pStyle w:val="Compact"/>
        <w:numPr>
          <w:ilvl w:val="0"/>
          <w:numId w:val="1004"/>
        </w:numPr>
      </w:pPr>
      <w:r>
        <w:t xml:space="preserve">target-selection optimization;</w:t>
      </w:r>
    </w:p>
    <w:p>
      <w:pPr>
        <w:pStyle w:val="Compact"/>
        <w:numPr>
          <w:ilvl w:val="0"/>
          <w:numId w:val="1004"/>
        </w:numPr>
      </w:pPr>
      <w:r>
        <w:t xml:space="preserve">weapon-control logic;</w:t>
      </w:r>
    </w:p>
    <w:p>
      <w:pPr>
        <w:pStyle w:val="Compact"/>
        <w:numPr>
          <w:ilvl w:val="0"/>
          <w:numId w:val="1004"/>
        </w:numPr>
      </w:pPr>
      <w:r>
        <w:t xml:space="preserve">platform-specific vulnerabilities;</w:t>
      </w:r>
    </w:p>
    <w:p>
      <w:pPr>
        <w:pStyle w:val="Compact"/>
        <w:numPr>
          <w:ilvl w:val="0"/>
          <w:numId w:val="1004"/>
        </w:numPr>
      </w:pPr>
      <w:r>
        <w:t xml:space="preserve">emission or signature recipes intended to mislead operational sensors;</w:t>
      </w:r>
    </w:p>
    <w:p>
      <w:pPr>
        <w:pStyle w:val="Compact"/>
        <w:numPr>
          <w:ilvl w:val="0"/>
          <w:numId w:val="1004"/>
        </w:numPr>
      </w:pPr>
      <w:r>
        <w:t xml:space="preserve">tactics for inducing false terminal declarations in live conflict;</w:t>
      </w:r>
    </w:p>
    <w:p>
      <w:pPr>
        <w:pStyle w:val="Compact"/>
        <w:numPr>
          <w:ilvl w:val="0"/>
          <w:numId w:val="1004"/>
        </w:numPr>
      </w:pPr>
      <w:r>
        <w:t xml:space="preserve">deployment parameters that materially increase harmful capability;</w:t>
      </w:r>
    </w:p>
    <w:p>
      <w:pPr>
        <w:pStyle w:val="Compact"/>
        <w:numPr>
          <w:ilvl w:val="0"/>
          <w:numId w:val="1004"/>
        </w:numPr>
      </w:pPr>
      <w:r>
        <w:t xml:space="preserve">autonomous mutation or engagement authority.</w:t>
      </w:r>
    </w:p>
    <w:p>
      <w:pPr>
        <w:pStyle w:val="FirstParagraph"/>
      </w:pPr>
      <w:r>
        <w:t xml:space="preserve">The distinction is consistent with established AI risk-management practice: systems should describe context, impact, governance, measurement, and management rather than allowing capability to outrun its control surface.</w:t>
      </w:r>
      <w:r>
        <w:t xml:space="preserve"> </w:t>
      </w:r>
      <w:hyperlink w:anchor="ref-NISTAIRMF2023">
        <w:r>
          <w:rPr>
            <w:rStyle w:val="Hyperlink"/>
          </w:rPr>
          <w:t xml:space="preserve">[12]</w:t>
        </w:r>
      </w:hyperlink>
      <w:r>
        <w:t xml:space="preserve">,</w:t>
      </w:r>
      <w:r>
        <w:t xml:space="preserve"> </w:t>
      </w:r>
      <w:hyperlink w:anchor="ref-NISTGenAI2024">
        <w:r>
          <w:rPr>
            <w:rStyle w:val="Hyperlink"/>
          </w:rPr>
          <w:t xml:space="preserve">[13]</w:t>
        </w:r>
      </w:hyperlink>
      <w:r>
        <w:t xml:space="preserve">,</w:t>
      </w:r>
      <w:r>
        <w:t xml:space="preserve"> </w:t>
      </w:r>
      <w:hyperlink w:anchor="ref-NISTAML2024">
        <w:r>
          <w:rPr>
            <w:rStyle w:val="Hyperlink"/>
          </w:rPr>
          <w:t xml:space="preserve">[14]</w:t>
        </w:r>
      </w:hyperlink>
      <w:r>
        <w:t xml:space="preserve"> </w:t>
      </w:r>
      <w:r>
        <w:t xml:space="preserve">It is also consistent with the principle that provenance and assurance establish identity, process, and bounded conformance, not semantic truth or universal safety.</w:t>
      </w:r>
      <w:r>
        <w:t xml:space="preserve"> </w:t>
      </w:r>
      <w:hyperlink w:anchor="ref-W3CPROV2013">
        <w:r>
          <w:rPr>
            <w:rStyle w:val="Hyperlink"/>
          </w:rPr>
          <w:t xml:space="preserve">[15]</w:t>
        </w:r>
      </w:hyperlink>
      <w:r>
        <w:t xml:space="preserve">,</w:t>
      </w:r>
      <w:r>
        <w:t xml:space="preserve"> </w:t>
      </w:r>
      <w:hyperlink w:anchor="ref-C2PA2025">
        <w:r>
          <w:rPr>
            <w:rStyle w:val="Hyperlink"/>
          </w:rPr>
          <w:t xml:space="preserve">[16]</w:t>
        </w:r>
      </w:hyperlink>
      <w:r>
        <w:t xml:space="preserve">,</w:t>
      </w:r>
      <w:r>
        <w:t xml:space="preserve"> </w:t>
      </w:r>
      <w:hyperlink w:anchor="ref-SLSA2026">
        <w:r>
          <w:rPr>
            <w:rStyle w:val="Hyperlink"/>
          </w:rPr>
          <w:t xml:space="preserve">[17]</w:t>
        </w:r>
      </w:hyperlink>
      <w:r>
        <w:t xml:space="preserve">,</w:t>
      </w:r>
      <w:r>
        <w:t xml:space="preserve"> </w:t>
      </w:r>
      <w:hyperlink w:anchor="ref-InToto2024">
        <w:r>
          <w:rPr>
            <w:rStyle w:val="Hyperlink"/>
          </w:rPr>
          <w:t xml:space="preserve">[18]</w:t>
        </w:r>
      </w:hyperlink>
      <w:r>
        <w:t xml:space="preserve"> </w:t>
      </w:r>
      <w:r>
        <w:t xml:space="preserve"># Part II - Parent topology, splat mechanics, and suspension</w:t>
      </w:r>
    </w:p>
    <w:bookmarkEnd w:id="36"/>
    <w:bookmarkStart w:id="37" w:name="X4658b33d8b096e6a4f628f439e4aa8014f5a4a2"/>
    <w:p>
      <w:pPr>
        <w:pStyle w:val="Heading2"/>
      </w:pPr>
      <w:r>
        <w:t xml:space="preserve">6. Governed quivers as responsibility topology</w:t>
      </w:r>
    </w:p>
    <w:p>
      <w:pPr>
        <w:pStyle w:val="FirstParagraph"/>
      </w:pPr>
      <w:r>
        <w:t xml:space="preserve">A normal directed graph answers a structural question: which vertices exist and which directed edges connect them. That is necessary but insufficient for systems that can alter files, models, money, institutional state, human opportunity, or physical outcomes. A governance graph must also answer whether an edge is lawful, who may traverse it, what it costs, what evidence it requires, which lifecycle state is current, what would halt it, and how the result will be corrected.</w:t>
      </w:r>
    </w:p>
    <w:p>
      <w:pPr>
        <w:pStyle w:val="BodyText"/>
      </w:pPr>
      <w:r>
        <w:t xml:space="preserve">For context</w:t>
      </w:r>
      <w:r>
        <w:t xml:space="preserve"> </w:t>
      </w:r>
      <w:r>
        <w:rPr>
          <w:rStyle w:val="VerbatimChar"/>
        </w:rPr>
        <w:t xml:space="preserve">c</w:t>
      </w:r>
      <w:r>
        <w:t xml:space="preserve">, the Ubiquity parent may be represented schematically as:</w:t>
      </w:r>
    </w:p>
    <w:p>
      <w:pPr>
        <w:pStyle w:val="SourceCode"/>
      </w:pPr>
      <w:r>
        <w:rPr>
          <w:rStyle w:val="VerbatimChar"/>
        </w:rPr>
        <w:t xml:space="preserve">GQ_c = (V_c, E_c, s_c, t_c, lambda_c, W_c,</w:t>
      </w:r>
      <w:r>
        <w:br/>
      </w:r>
      <w:r>
        <w:rPr>
          <w:rStyle w:val="VerbatimChar"/>
        </w:rPr>
        <w:t xml:space="preserve">        A_c, Omega_c, B_c, kappa_c, Gamma_c, Telos_c, center_c)</w:t>
      </w:r>
    </w:p>
    <w:p>
      <w:pPr>
        <w:pStyle w:val="FirstParagraph"/>
      </w:pPr>
      <w:r>
        <w:t xml:space="preserve">where:</w:t>
      </w:r>
    </w:p>
    <w:p>
      <w:pPr>
        <w:pStyle w:val="Compact"/>
        <w:numPr>
          <w:ilvl w:val="0"/>
          <w:numId w:val="1005"/>
        </w:numPr>
      </w:pPr>
      <w:r>
        <w:rPr>
          <w:rStyle w:val="VerbatimChar"/>
        </w:rPr>
        <w:t xml:space="preserve">V_c</w:t>
      </w:r>
      <w:r>
        <w:t xml:space="preserve"> </w:t>
      </w:r>
      <w:r>
        <w:t xml:space="preserve">contains inhabitable entities, artifacts, claims, offices, tools, states, and duties;</w:t>
      </w:r>
    </w:p>
    <w:p>
      <w:pPr>
        <w:pStyle w:val="Compact"/>
        <w:numPr>
          <w:ilvl w:val="0"/>
          <w:numId w:val="1005"/>
        </w:numPr>
      </w:pPr>
      <w:r>
        <w:rPr>
          <w:rStyle w:val="VerbatimChar"/>
        </w:rPr>
        <w:t xml:space="preserve">E_c</w:t>
      </w:r>
      <w:r>
        <w:t xml:space="preserve"> </w:t>
      </w:r>
      <w:r>
        <w:t xml:space="preserve">contains typed motions such as observe, cite, infer, route, disclose, approve, mutate, suspend, correct, and retire;</w:t>
      </w:r>
    </w:p>
    <w:p>
      <w:pPr>
        <w:pStyle w:val="Compact"/>
        <w:numPr>
          <w:ilvl w:val="0"/>
          <w:numId w:val="1005"/>
        </w:numPr>
      </w:pPr>
      <w:r>
        <w:rPr>
          <w:rStyle w:val="VerbatimChar"/>
        </w:rPr>
        <w:t xml:space="preserve">lambda_c</w:t>
      </w:r>
      <w:r>
        <w:t xml:space="preserve"> </w:t>
      </w:r>
      <w:r>
        <w:t xml:space="preserve">types each edge;</w:t>
      </w:r>
    </w:p>
    <w:p>
      <w:pPr>
        <w:pStyle w:val="Compact"/>
        <w:numPr>
          <w:ilvl w:val="0"/>
          <w:numId w:val="1005"/>
        </w:numPr>
      </w:pPr>
      <w:r>
        <w:rPr>
          <w:rStyle w:val="VerbatimChar"/>
        </w:rPr>
        <w:t xml:space="preserve">W_c</w:t>
      </w:r>
      <w:r>
        <w:t xml:space="preserve"> </w:t>
      </w:r>
      <w:r>
        <w:t xml:space="preserve">expresses traversal pressure or cost, never truth;</w:t>
      </w:r>
    </w:p>
    <w:p>
      <w:pPr>
        <w:pStyle w:val="Compact"/>
        <w:numPr>
          <w:ilvl w:val="0"/>
          <w:numId w:val="1005"/>
        </w:numPr>
      </w:pPr>
      <w:r>
        <w:rPr>
          <w:rStyle w:val="VerbatimChar"/>
        </w:rPr>
        <w:t xml:space="preserve">A_c</w:t>
      </w:r>
      <w:r>
        <w:t xml:space="preserve"> </w:t>
      </w:r>
      <w:r>
        <w:t xml:space="preserve">contains anchors, duties, authority limits, and protected resources;</w:t>
      </w:r>
    </w:p>
    <w:p>
      <w:pPr>
        <w:pStyle w:val="Compact"/>
        <w:numPr>
          <w:ilvl w:val="0"/>
          <w:numId w:val="1005"/>
        </w:numPr>
      </w:pPr>
      <w:r>
        <w:rPr>
          <w:rStyle w:val="VerbatimChar"/>
        </w:rPr>
        <w:t xml:space="preserve">Omega_c</w:t>
      </w:r>
      <w:r>
        <w:t xml:space="preserve"> </w:t>
      </w:r>
      <w:r>
        <w:t xml:space="preserve">is the apophatic forbidden-path structure;</w:t>
      </w:r>
    </w:p>
    <w:p>
      <w:pPr>
        <w:pStyle w:val="Compact"/>
        <w:numPr>
          <w:ilvl w:val="0"/>
          <w:numId w:val="1005"/>
        </w:numPr>
      </w:pPr>
      <w:r>
        <w:rPr>
          <w:rStyle w:val="VerbatimChar"/>
        </w:rPr>
        <w:t xml:space="preserve">B_c</w:t>
      </w:r>
      <w:r>
        <w:t xml:space="preserve"> </w:t>
      </w:r>
      <w:r>
        <w:t xml:space="preserve">contains absorbers such as halt, review, rollback, quarantine, demotion, and bounded rewrite;</w:t>
      </w:r>
    </w:p>
    <w:p>
      <w:pPr>
        <w:pStyle w:val="Compact"/>
        <w:numPr>
          <w:ilvl w:val="0"/>
          <w:numId w:val="1005"/>
        </w:numPr>
      </w:pPr>
      <w:r>
        <w:rPr>
          <w:rStyle w:val="VerbatimChar"/>
        </w:rPr>
        <w:t xml:space="preserve">kappa_c</w:t>
      </w:r>
      <w:r>
        <w:t xml:space="preserve"> </w:t>
      </w:r>
      <w:r>
        <w:t xml:space="preserve">accounts for coordination cost;</w:t>
      </w:r>
    </w:p>
    <w:p>
      <w:pPr>
        <w:pStyle w:val="Compact"/>
        <w:numPr>
          <w:ilvl w:val="0"/>
          <w:numId w:val="1005"/>
        </w:numPr>
      </w:pPr>
      <w:r>
        <w:rPr>
          <w:rStyle w:val="VerbatimChar"/>
        </w:rPr>
        <w:t xml:space="preserve">Gamma_c</w:t>
      </w:r>
      <w:r>
        <w:t xml:space="preserve"> </w:t>
      </w:r>
      <w:r>
        <w:t xml:space="preserve">contains receipts, tests, hashes, readbacks, and conformation;</w:t>
      </w:r>
    </w:p>
    <w:p>
      <w:pPr>
        <w:pStyle w:val="Compact"/>
        <w:numPr>
          <w:ilvl w:val="0"/>
          <w:numId w:val="1005"/>
        </w:numPr>
      </w:pPr>
      <w:r>
        <w:rPr>
          <w:rStyle w:val="VerbatimChar"/>
        </w:rPr>
        <w:t xml:space="preserve">Telos_c</w:t>
      </w:r>
      <w:r>
        <w:t xml:space="preserve"> </w:t>
      </w:r>
      <w:r>
        <w:t xml:space="preserve">binds the local purpose;</w:t>
      </w:r>
    </w:p>
    <w:p>
      <w:pPr>
        <w:pStyle w:val="Compact"/>
        <w:numPr>
          <w:ilvl w:val="0"/>
          <w:numId w:val="1005"/>
        </w:numPr>
      </w:pPr>
      <w:r>
        <w:rPr>
          <w:rStyle w:val="VerbatimChar"/>
        </w:rPr>
        <w:t xml:space="preserve">center_c</w:t>
      </w:r>
      <w:r>
        <w:t xml:space="preserve"> </w:t>
      </w:r>
      <w:r>
        <w:t xml:space="preserve">is a non-inhabitable center marker rather than a vertex.</w:t>
      </w:r>
    </w:p>
    <w:p>
      <w:pPr>
        <w:pStyle w:val="FirstParagraph"/>
      </w:pPr>
      <w:r>
        <w:t xml:space="preserve">The point is not notation for its own sake. The tuple names the state that ordinary orchestration frameworks commonly leave implicit. A workflow engine may know that step B follows step A, but not that B is forbidden when A came from memory rather than runtime telemetry. An agent router may know that a model can answer a question, but not that the model lacks standing to disclose the answer. A dashboard may know that every component test is green, but not that the cross-repository join is unreceipted. A human may technically approve a recommendation without having seen the evidence or alternatives that would make the approval meaningful.</w:t>
      </w:r>
    </w:p>
    <w:p>
      <w:pPr>
        <w:pStyle w:val="BodyText"/>
      </w:pPr>
      <w:r>
        <w:t xml:space="preserve">FORKED operates inside this parent object. An observer state is a vertex only when its type and lifecycle are explicit. A declaration edge is traversable only if the required authority, evidence, currentness, agency, and correction predicates hold. A projection is not allowed to inherit mutation authority because it is fluent. A local working centroid can direct search but cannot become the center.</w:t>
      </w:r>
    </w:p>
    <w:p>
      <w:pPr>
        <w:pStyle w:val="BodyText"/>
      </w:pPr>
      <w:r>
        <w:t xml:space="preserve">This approach is adjacent to systems safety and runtime verification but extends their object. Systems-theoretic safety analysis treats accidents as emergent control failures rather than isolated component failures, while runtime verification monitors execution against formal properties. FORKED adopts both instincts: safety conditions belong to the system topology, and runtime evidence outranks elegant design intent.</w:t>
      </w:r>
      <w:r>
        <w:t xml:space="preserve"> </w:t>
      </w:r>
      <w:hyperlink w:anchor="ref-Leveson2011Engineering">
        <w:r>
          <w:rPr>
            <w:rStyle w:val="Hyperlink"/>
          </w:rPr>
          <w:t xml:space="preserve">[19]</w:t>
        </w:r>
      </w:hyperlink>
      <w:r>
        <w:t xml:space="preserve">,</w:t>
      </w:r>
      <w:r>
        <w:t xml:space="preserve"> </w:t>
      </w:r>
      <w:hyperlink w:anchor="ref-Bauer2011Runtime">
        <w:r>
          <w:rPr>
            <w:rStyle w:val="Hyperlink"/>
          </w:rPr>
          <w:t xml:space="preserve">[20]</w:t>
        </w:r>
      </w:hyperlink>
      <w:r>
        <w:t xml:space="preserve"> </w:t>
      </w:r>
      <w:r>
        <w:t xml:space="preserve">It adds source-tense, observer geometry, human agency, telos, and open-center exclusion because those objects become load-bearing when AI systems generate interpretations and plans rather than executing only predefined transitions.</w:t>
      </w:r>
    </w:p>
    <w:bookmarkEnd w:id="37"/>
    <w:bookmarkStart w:id="38" w:name="X4f6d140441c641e3079a3b71f28d4f055e4cd6d"/>
    <w:p>
      <w:pPr>
        <w:pStyle w:val="Heading2"/>
      </w:pPr>
      <w:r>
        <w:t xml:space="preserve">7. Classification is the lawful traversal set</w:t>
      </w:r>
    </w:p>
    <w:p>
      <w:pPr>
        <w:pStyle w:val="FirstParagraph"/>
      </w:pPr>
      <w:r>
        <w:t xml:space="preserve">The conventional classifier maps an input</w:t>
      </w:r>
      <w:r>
        <w:t xml:space="preserve"> </w:t>
      </w:r>
      <w:r>
        <w:rPr>
          <w:rStyle w:val="VerbatimChar"/>
        </w:rPr>
        <w:t xml:space="preserve">x</w:t>
      </w:r>
      <w:r>
        <w:t xml:space="preserve"> </w:t>
      </w:r>
      <w:r>
        <w:t xml:space="preserve">to a label</w:t>
      </w:r>
      <w:r>
        <w:t xml:space="preserve"> </w:t>
      </w:r>
      <w:r>
        <w:rPr>
          <w:rStyle w:val="VerbatimChar"/>
        </w:rPr>
        <w:t xml:space="preserve">y</w:t>
      </w:r>
      <w:r>
        <w:t xml:space="preserve">, perhaps with a probability distribution. That can be useful for perception, but it is not sufficient for governance. The same factual classification may permit different actions depending on authority, jurisdiction, lifecycle, location, economic envelope, and reversibility.</w:t>
      </w:r>
    </w:p>
    <w:p>
      <w:pPr>
        <w:pStyle w:val="BodyText"/>
      </w:pPr>
      <w:r>
        <w:t xml:space="preserve">FORKED therefore inherits the parent classifier:</w:t>
      </w:r>
    </w:p>
    <w:p>
      <w:pPr>
        <w:pStyle w:val="SourceCode"/>
      </w:pPr>
      <w:r>
        <w:rPr>
          <w:rStyle w:val="VerbatimChar"/>
        </w:rPr>
        <w:t xml:space="preserve">L(x,c,t) = { p in Paths(GQ_c) |</w:t>
      </w:r>
      <w:r>
        <w:br/>
      </w:r>
      <w:r>
        <w:rPr>
          <w:rStyle w:val="VerbatimChar"/>
        </w:rPr>
        <w:t xml:space="preserve">             p not in Omega_c</w:t>
      </w:r>
      <w:r>
        <w:br/>
      </w:r>
      <w:r>
        <w:rPr>
          <w:rStyle w:val="VerbatimChar"/>
        </w:rPr>
        <w:t xml:space="preserve">             and Authority(p)</w:t>
      </w:r>
      <w:r>
        <w:br/>
      </w:r>
      <w:r>
        <w:rPr>
          <w:rStyle w:val="VerbatimChar"/>
        </w:rPr>
        <w:t xml:space="preserve">             and Standing(p)</w:t>
      </w:r>
      <w:r>
        <w:br/>
      </w:r>
      <w:r>
        <w:rPr>
          <w:rStyle w:val="VerbatimChar"/>
        </w:rPr>
        <w:t xml:space="preserve">             and Current(p,t)</w:t>
      </w:r>
      <w:r>
        <w:br/>
      </w:r>
      <w:r>
        <w:rPr>
          <w:rStyle w:val="VerbatimChar"/>
        </w:rPr>
        <w:t xml:space="preserve">             and Lifecycle(p)</w:t>
      </w:r>
      <w:r>
        <w:br/>
      </w:r>
      <w:r>
        <w:rPr>
          <w:rStyle w:val="VerbatimChar"/>
        </w:rPr>
        <w:t xml:space="preserve">             and Receipted(p)</w:t>
      </w:r>
      <w:r>
        <w:br/>
      </w:r>
      <w:r>
        <w:rPr>
          <w:rStyle w:val="VerbatimChar"/>
        </w:rPr>
        <w:t xml:space="preserve">             and TelosPreserved(p) }</w:t>
      </w:r>
      <w:r>
        <w:br/>
      </w:r>
      <w:r>
        <w:br/>
      </w:r>
      <w:r>
        <w:rPr>
          <w:rStyle w:val="VerbatimChar"/>
        </w:rPr>
        <w:t xml:space="preserve">C(x,c,t) = Project_c(L(x,c,t))</w:t>
      </w:r>
    </w:p>
    <w:p>
      <w:pPr>
        <w:pStyle w:val="FirstParagraph"/>
      </w:pPr>
      <w:r>
        <w:t xml:space="preserve">The output projection may render:</w:t>
      </w:r>
    </w:p>
    <w:p>
      <w:pPr>
        <w:pStyle w:val="SourceCode"/>
      </w:pPr>
      <w:r>
        <w:rPr>
          <w:rStyle w:val="VerbatimChar"/>
        </w:rPr>
        <w:t xml:space="preserve">act</w:t>
      </w:r>
      <w:r>
        <w:br/>
      </w:r>
      <w:r>
        <w:rPr>
          <w:rStyle w:val="VerbatimChar"/>
        </w:rPr>
        <w:t xml:space="preserve">hold</w:t>
      </w:r>
      <w:r>
        <w:br/>
      </w:r>
      <w:r>
        <w:rPr>
          <w:rStyle w:val="VerbatimChar"/>
        </w:rPr>
        <w:t xml:space="preserve">review</w:t>
      </w:r>
      <w:r>
        <w:br/>
      </w:r>
      <w:r>
        <w:rPr>
          <w:rStyle w:val="VerbatimChar"/>
        </w:rPr>
        <w:t xml:space="preserve">refuse</w:t>
      </w:r>
      <w:r>
        <w:br/>
      </w:r>
      <w:r>
        <w:rPr>
          <w:rStyle w:val="VerbatimChar"/>
        </w:rPr>
        <w:t xml:space="preserve">suspend</w:t>
      </w:r>
      <w:r>
        <w:br/>
      </w:r>
      <w:r>
        <w:rPr>
          <w:rStyle w:val="VerbatimChar"/>
        </w:rPr>
        <w:t xml:space="preserve">reopen</w:t>
      </w:r>
      <w:r>
        <w:br/>
      </w:r>
      <w:r>
        <w:rPr>
          <w:rStyle w:val="VerbatimChar"/>
        </w:rPr>
        <w:t xml:space="preserve">demote</w:t>
      </w:r>
      <w:r>
        <w:br/>
      </w:r>
      <w:r>
        <w:rPr>
          <w:rStyle w:val="VerbatimChar"/>
        </w:rPr>
        <w:t xml:space="preserve">expire</w:t>
      </w:r>
      <w:r>
        <w:br/>
      </w:r>
      <w:r>
        <w:rPr>
          <w:rStyle w:val="VerbatimChar"/>
        </w:rPr>
        <w:t xml:space="preserve">delegate</w:t>
      </w:r>
      <w:r>
        <w:br/>
      </w:r>
      <w:r>
        <w:rPr>
          <w:rStyle w:val="VerbatimChar"/>
        </w:rPr>
        <w:t xml:space="preserve">request complement</w:t>
      </w:r>
      <w:r>
        <w:br/>
      </w:r>
      <w:r>
        <w:rPr>
          <w:rStyle w:val="VerbatimChar"/>
        </w:rPr>
        <w:t xml:space="preserve">declare</w:t>
      </w:r>
      <w:r>
        <w:br/>
      </w:r>
      <w:r>
        <w:rPr>
          <w:rStyle w:val="VerbatimChar"/>
        </w:rPr>
        <w:t xml:space="preserve">terminalize</w:t>
      </w:r>
    </w:p>
    <w:p>
      <w:pPr>
        <w:pStyle w:val="FirstParagraph"/>
      </w:pPr>
      <w:r>
        <w:t xml:space="preserve">The result can contain more than one lawful path. It may say that a reversible simulation may proceed, a production mutation remains blocked, and an evidence-acquisition task should begin in parallel. That is not indecision. It is a more exact account of a field in which permissions differ by path.</w:t>
      </w:r>
    </w:p>
    <w:p>
      <w:pPr>
        <w:pStyle w:val="BodyText"/>
      </w:pPr>
      <w:r>
        <w:t xml:space="preserve">Lawful traversal also prevents semantic laundering. A model may restate a proposal in the vocabulary of another context. The new wording does not acquire the new context’s authority unless the root anchors, source-tense, standing, lifecycle, and telos survive the move. A mission-local success cannot become war-level success by changing the heading. A synthetic benchmark cannot become field evidence because the graph contains one million simulated nodes. A memory cannot become a current runtime fact because it was rendered this morning.</w:t>
      </w:r>
    </w:p>
    <w:p>
      <w:pPr>
        <w:pStyle w:val="BodyText"/>
      </w:pPr>
      <w:r>
        <w:t xml:space="preserve">This is the first place where APO is load-bearing. Positive resemblance can suggest a path. Negative structure can forbid it. When the candidate path would collapse physical state into rendered state, allow a model to crown a declaration, transfer liability to a human without agency, or use an expired receipt as current evidence, the path is removed regardless of semantic proximity.</w:t>
      </w:r>
    </w:p>
    <w:bookmarkEnd w:id="38"/>
    <w:bookmarkStart w:id="41" w:name="the-splat-as-a-lawful-local-field"/>
    <w:p>
      <w:pPr>
        <w:pStyle w:val="Heading2"/>
      </w:pPr>
      <w:r>
        <w:t xml:space="preserve">8. The splat as a lawful local field</w:t>
      </w:r>
    </w:p>
    <w:p>
      <w:pPr>
        <w:pStyle w:val="FirstParagraph"/>
      </w:pPr>
      <w:r>
        <w:t xml:space="preserve">A splat is the portable unit of governed problem shape. It is smaller than the whole world and richer than a summary. It is designed to survive transport across natural language, code, graphs, simulation, telemetry, and institutional procedure without erasing the constraints that determine lawful movement.</w:t>
      </w:r>
    </w:p>
    <w:p>
      <w:pPr>
        <w:pStyle w:val="BodyText"/>
      </w:pPr>
      <w:r>
        <w:t xml:space="preserve">A FORKED splat contains at minimum:</w:t>
      </w:r>
    </w:p>
    <w:p>
      <w:pPr>
        <w:pStyle w:val="SourceCode"/>
      </w:pPr>
      <w:r>
        <w:rPr>
          <w:rStyle w:val="VerbatimChar"/>
        </w:rPr>
        <w:t xml:space="preserve">Splat = {</w:t>
      </w:r>
      <w:r>
        <w:br/>
      </w:r>
      <w:r>
        <w:rPr>
          <w:rStyle w:val="VerbatimChar"/>
        </w:rPr>
        <w:t xml:space="preserve">  identity,</w:t>
      </w:r>
      <w:r>
        <w:br/>
      </w:r>
      <w:r>
        <w:rPr>
          <w:rStyle w:val="VerbatimChar"/>
        </w:rPr>
        <w:t xml:space="preserve">  context,</w:t>
      </w:r>
      <w:r>
        <w:br/>
      </w:r>
      <w:r>
        <w:rPr>
          <w:rStyle w:val="VerbatimChar"/>
        </w:rPr>
        <w:t xml:space="preserve">  mission,</w:t>
      </w:r>
      <w:r>
        <w:br/>
      </w:r>
      <w:r>
        <w:rPr>
          <w:rStyle w:val="VerbatimChar"/>
        </w:rPr>
        <w:t xml:space="preserve">  source_tense,</w:t>
      </w:r>
      <w:r>
        <w:br/>
      </w:r>
      <w:r>
        <w:rPr>
          <w:rStyle w:val="VerbatimChar"/>
        </w:rPr>
        <w:t xml:space="preserve">  lifecycle,</w:t>
      </w:r>
      <w:r>
        <w:br/>
      </w:r>
      <w:r>
        <w:rPr>
          <w:rStyle w:val="VerbatimChar"/>
        </w:rPr>
        <w:t xml:space="preserve">  facets: {KAT, APO, PAR, PLE, ENA, TEL},</w:t>
      </w:r>
      <w:r>
        <w:br/>
      </w:r>
      <w:r>
        <w:rPr>
          <w:rStyle w:val="VerbatimChar"/>
        </w:rPr>
        <w:t xml:space="preserve">  cross_facet_edges,</w:t>
      </w:r>
      <w:r>
        <w:br/>
      </w:r>
      <w:r>
        <w:rPr>
          <w:rStyle w:val="VerbatimChar"/>
        </w:rPr>
        <w:t xml:space="preserve">  receipts,</w:t>
      </w:r>
      <w:r>
        <w:br/>
      </w:r>
      <w:r>
        <w:rPr>
          <w:rStyle w:val="VerbatimChar"/>
        </w:rPr>
        <w:t xml:space="preserve">  assumptions,</w:t>
      </w:r>
      <w:r>
        <w:br/>
      </w:r>
      <w:r>
        <w:rPr>
          <w:rStyle w:val="VerbatimChar"/>
        </w:rPr>
        <w:t xml:space="preserve">  exclusions,</w:t>
      </w:r>
      <w:r>
        <w:br/>
      </w:r>
      <w:r>
        <w:rPr>
          <w:rStyle w:val="VerbatimChar"/>
        </w:rPr>
        <w:t xml:space="preserve">  active_hypotheses,</w:t>
      </w:r>
      <w:r>
        <w:br/>
      </w:r>
      <w:r>
        <w:rPr>
          <w:rStyle w:val="VerbatimChar"/>
        </w:rPr>
        <w:t xml:space="preserve">  suspended_hypotheses,</w:t>
      </w:r>
      <w:r>
        <w:br/>
      </w:r>
      <w:r>
        <w:rPr>
          <w:rStyle w:val="VerbatimChar"/>
        </w:rPr>
        <w:t xml:space="preserve">  deconsidered_hypotheses,</w:t>
      </w:r>
      <w:r>
        <w:br/>
      </w:r>
      <w:r>
        <w:rPr>
          <w:rStyle w:val="VerbatimChar"/>
        </w:rPr>
        <w:t xml:space="preserve">  unresolved,</w:t>
      </w:r>
      <w:r>
        <w:br/>
      </w:r>
      <w:r>
        <w:rPr>
          <w:rStyle w:val="VerbatimChar"/>
        </w:rPr>
        <w:t xml:space="preserve">  working_centroids,</w:t>
      </w:r>
      <w:r>
        <w:br/>
      </w:r>
      <w:r>
        <w:rPr>
          <w:rStyle w:val="VerbatimChar"/>
        </w:rPr>
        <w:t xml:space="preserve">  narrowing_reasons,</w:t>
      </w:r>
      <w:r>
        <w:br/>
      </w:r>
      <w:r>
        <w:rPr>
          <w:rStyle w:val="VerbatimChar"/>
        </w:rPr>
        <w:t xml:space="preserve">  renarrow_triggers,</w:t>
      </w:r>
      <w:r>
        <w:br/>
      </w:r>
      <w:r>
        <w:rPr>
          <w:rStyle w:val="VerbatimChar"/>
        </w:rPr>
        <w:t xml:space="preserve">  held_open_center_marker</w:t>
      </w:r>
      <w:r>
        <w:br/>
      </w:r>
      <w:r>
        <w:rPr>
          <w:rStyle w:val="VerbatimChar"/>
        </w:rPr>
        <w:t xml:space="preserve">}</w:t>
      </w:r>
    </w:p>
    <w:p>
      <w:pPr>
        <w:pStyle w:val="CaptionedFigure"/>
      </w:pPr>
      <w:r>
        <w:drawing>
          <wp:inline>
            <wp:extent cx="5002530" cy="5002530"/>
            <wp:effectExtent b="0" l="0" r="0" t="0"/>
            <wp:docPr descr="Figure 2. A splat lattice. The six facets constrain the inhabitable field around a center that no path may target." title="" id="39" name="Picture"/>
            <a:graphic>
              <a:graphicData uri="http://schemas.openxmlformats.org/drawingml/2006/picture">
                <pic:pic>
                  <pic:nvPicPr>
                    <pic:cNvPr descr="figures/figure02_splat_lattice.png" id="40" name="Picture"/>
                    <pic:cNvPicPr>
                      <a:picLocks noChangeArrowheads="1" noChangeAspect="1"/>
                    </pic:cNvPicPr>
                  </pic:nvPicPr>
                  <pic:blipFill>
                    <a:blip r:embed="rId20"/>
                    <a:stretch>
                      <a:fillRect/>
                    </a:stretch>
                  </pic:blipFill>
                  <pic:spPr bwMode="auto">
                    <a:xfrm>
                      <a:off x="0" y="0"/>
                      <a:ext cx="5002530" cy="5002530"/>
                    </a:xfrm>
                    <a:prstGeom prst="rect">
                      <a:avLst/>
                    </a:prstGeom>
                    <a:noFill/>
                    <a:ln w="9525">
                      <a:noFill/>
                      <a:headEnd/>
                      <a:tailEnd/>
                    </a:ln>
                  </pic:spPr>
                </pic:pic>
              </a:graphicData>
            </a:graphic>
          </wp:inline>
        </w:drawing>
      </w:r>
    </w:p>
    <w:p>
      <w:pPr>
        <w:pStyle w:val="ImageCaption"/>
      </w:pPr>
      <w:r>
        <w:t xml:space="preserve">Figure 2. A splat lattice. The six facets constrain the inhabitable field around a center that no path may target.</w:t>
      </w:r>
    </w:p>
    <w:p>
      <w:pPr>
        <w:pStyle w:val="BodyText"/>
      </w:pPr>
      <w:r>
        <w:t xml:space="preserve">The slice is</w:t>
      </w:r>
      <w:r>
        <w:t xml:space="preserve"> </w:t>
      </w:r>
      <w:r>
        <w:rPr>
          <w:b/>
          <w:bCs/>
        </w:rPr>
        <w:t xml:space="preserve">conformation-bound</w:t>
      </w:r>
      <w:r>
        <w:t xml:space="preserve">. It remains accurate while its evidence, telemetry, authority, currentness, lifecycle, and governing constraints continue to support it. A new timestamp does not make a stale source current. A canonical document can remain authoritative as intent while the loaded runtime violates it. A sensor value can be fresh and wrong. A model summary can be coherent and unreceipted.</w:t>
      </w:r>
    </w:p>
    <w:p>
      <w:pPr>
        <w:pStyle w:val="BodyText"/>
      </w:pPr>
      <w:r>
        <w:t xml:space="preserve">Every material narrowing therefore carries an explanation:</w:t>
      </w:r>
    </w:p>
    <w:p>
      <w:pPr>
        <w:pStyle w:val="Compact"/>
        <w:numPr>
          <w:ilvl w:val="0"/>
          <w:numId w:val="1006"/>
        </w:numPr>
      </w:pPr>
      <w:r>
        <w:t xml:space="preserve">why the possibility space was reduced to this region;</w:t>
      </w:r>
    </w:p>
    <w:p>
      <w:pPr>
        <w:pStyle w:val="Compact"/>
        <w:numPr>
          <w:ilvl w:val="0"/>
          <w:numId w:val="1006"/>
        </w:numPr>
      </w:pPr>
      <w:r>
        <w:t xml:space="preserve">what evidence performed the reduction;</w:t>
      </w:r>
    </w:p>
    <w:p>
      <w:pPr>
        <w:pStyle w:val="Compact"/>
        <w:numPr>
          <w:ilvl w:val="0"/>
          <w:numId w:val="1006"/>
        </w:numPr>
      </w:pPr>
      <w:r>
        <w:t xml:space="preserve">what was excluded and under which authority;</w:t>
      </w:r>
    </w:p>
    <w:p>
      <w:pPr>
        <w:pStyle w:val="Compact"/>
        <w:numPr>
          <w:ilvl w:val="0"/>
          <w:numId w:val="1006"/>
        </w:numPr>
      </w:pPr>
      <w:r>
        <w:t xml:space="preserve">what remained live;</w:t>
      </w:r>
    </w:p>
    <w:p>
      <w:pPr>
        <w:pStyle w:val="Compact"/>
        <w:numPr>
          <w:ilvl w:val="0"/>
          <w:numId w:val="1006"/>
        </w:numPr>
      </w:pPr>
      <w:r>
        <w:t xml:space="preserve">what was suspended;</w:t>
      </w:r>
    </w:p>
    <w:p>
      <w:pPr>
        <w:pStyle w:val="Compact"/>
        <w:numPr>
          <w:ilvl w:val="0"/>
          <w:numId w:val="1006"/>
        </w:numPr>
      </w:pPr>
      <w:r>
        <w:t xml:space="preserve">what was deliberately removed from the lane by design;</w:t>
      </w:r>
    </w:p>
    <w:p>
      <w:pPr>
        <w:pStyle w:val="Compact"/>
        <w:numPr>
          <w:ilvl w:val="0"/>
          <w:numId w:val="1006"/>
        </w:numPr>
      </w:pPr>
      <w:r>
        <w:t xml:space="preserve">what would reopen or renarrow the field;</w:t>
      </w:r>
    </w:p>
    <w:p>
      <w:pPr>
        <w:pStyle w:val="Compact"/>
        <w:numPr>
          <w:ilvl w:val="0"/>
          <w:numId w:val="1006"/>
        </w:numPr>
      </w:pPr>
      <w:r>
        <w:t xml:space="preserve">what dependent state would need correction if the slice fails.</w:t>
      </w:r>
    </w:p>
    <w:p>
      <w:pPr>
        <w:pStyle w:val="FirstParagraph"/>
      </w:pPr>
      <w:r>
        <w:t xml:space="preserve">This is not documentation after the decision. It is part of the decision object. A future system cannot correct a claim if it does not know whether the claim was disproven, deferred, localized, or excluded from one lane. A future reviewer cannot distinguish a physical constraint from an economic choice if both are serialized as</w:t>
      </w:r>
      <w:r>
        <w:t xml:space="preserve"> </w:t>
      </w:r>
      <w:r>
        <w:rPr>
          <w:rStyle w:val="VerbatimChar"/>
        </w:rPr>
        <w:t xml:space="preserve">blocked</w:t>
      </w:r>
      <w:r>
        <w:t xml:space="preserve">.</w:t>
      </w:r>
    </w:p>
    <w:p>
      <w:pPr>
        <w:pStyle w:val="BodyText"/>
      </w:pPr>
      <w:r>
        <w:t xml:space="preserve">The current native implementation represents these distinctions directly through</w:t>
      </w:r>
      <w:r>
        <w:t xml:space="preserve"> </w:t>
      </w:r>
      <w:r>
        <w:rPr>
          <w:rStyle w:val="VerbatimChar"/>
        </w:rPr>
        <w:t xml:space="preserve">FacetClaim</w:t>
      </w:r>
      <w:r>
        <w:t xml:space="preserve">,</w:t>
      </w:r>
      <w:r>
        <w:t xml:space="preserve"> </w:t>
      </w:r>
      <w:r>
        <w:rPr>
          <w:rStyle w:val="VerbatimChar"/>
        </w:rPr>
        <w:t xml:space="preserve">Disposition</w:t>
      </w:r>
      <w:r>
        <w:t xml:space="preserve">,</w:t>
      </w:r>
      <w:r>
        <w:t xml:space="preserve"> </w:t>
      </w:r>
      <w:r>
        <w:rPr>
          <w:rStyle w:val="VerbatimChar"/>
        </w:rPr>
        <w:t xml:space="preserve">EvidenceReceipt</w:t>
      </w:r>
      <w:r>
        <w:t xml:space="preserve">,</w:t>
      </w:r>
      <w:r>
        <w:t xml:space="preserve"> </w:t>
      </w:r>
      <w:r>
        <w:rPr>
          <w:rStyle w:val="VerbatimChar"/>
        </w:rPr>
        <w:t xml:space="preserve">WorkingCentroid</w:t>
      </w:r>
      <w:r>
        <w:t xml:space="preserve">, and</w:t>
      </w:r>
      <w:r>
        <w:t xml:space="preserve"> </w:t>
      </w:r>
      <w:r>
        <w:rPr>
          <w:rStyle w:val="VerbatimChar"/>
        </w:rPr>
        <w:t xml:space="preserve">HeldOpenCenter</w:t>
      </w:r>
      <w:r>
        <w:t xml:space="preserve"> </w:t>
      </w:r>
      <w:r>
        <w:t xml:space="preserve">objects. Missing facets are not omitted; they are represented as deferred claims so the absence remains visible.</w:t>
      </w:r>
      <w:r>
        <w:t xml:space="preserve"> </w:t>
      </w:r>
      <w:hyperlink w:anchor="ref-ForkedNative2026">
        <w:r>
          <w:rPr>
            <w:rStyle w:val="Hyperlink"/>
          </w:rPr>
          <w:t xml:space="preserve">[1]</w:t>
        </w:r>
      </w:hyperlink>
    </w:p>
    <w:bookmarkEnd w:id="41"/>
    <w:bookmarkStart w:id="42" w:name="the-held-open-center"/>
    <w:p>
      <w:pPr>
        <w:pStyle w:val="Heading2"/>
      </w:pPr>
      <w:r>
        <w:t xml:space="preserve">9. The held-open center</w:t>
      </w:r>
    </w:p>
    <w:p>
      <w:pPr>
        <w:pStyle w:val="FirstParagraph"/>
      </w:pPr>
      <w:r>
        <w:t xml:space="preserve">The held-open center is the architectural difference between an actionable slice and a totalizing representation. It is not the average of the facets, the most likely label, a null value, an unknown class, or the answer the system hopes to discover later. It is a typed exclusion from the inhabitable state space.</w:t>
      </w:r>
    </w:p>
    <w:p>
      <w:pPr>
        <w:pStyle w:val="BodyText"/>
      </w:pPr>
      <w:r>
        <w:t xml:space="preserve">Let</w:t>
      </w:r>
      <w:r>
        <w:t xml:space="preserve"> </w:t>
      </w:r>
      <w:r>
        <w:rPr>
          <w:rStyle w:val="VerbatimChar"/>
        </w:rPr>
        <w:t xml:space="preserve">V_c</w:t>
      </w:r>
      <w:r>
        <w:t xml:space="preserve"> </w:t>
      </w:r>
      <w:r>
        <w:t xml:space="preserve">be the inhabitable vertices and</w:t>
      </w:r>
      <w:r>
        <w:t xml:space="preserve"> </w:t>
      </w:r>
      <w:r>
        <w:rPr>
          <w:rStyle w:val="VerbatimChar"/>
        </w:rPr>
        <w:t xml:space="preserve">Z_c</w:t>
      </w:r>
      <w:r>
        <w:t xml:space="preserve"> </w:t>
      </w:r>
      <w:r>
        <w:t xml:space="preserve">the center-marker sort. Require:</w:t>
      </w:r>
    </w:p>
    <w:p>
      <w:pPr>
        <w:pStyle w:val="SourceCode"/>
      </w:pPr>
      <w:r>
        <w:rPr>
          <w:rStyle w:val="VerbatimChar"/>
        </w:rPr>
        <w:t xml:space="preserve">V_c intersect Z_c = empty</w:t>
      </w:r>
      <w:r>
        <w:br/>
      </w:r>
      <w:r>
        <w:rPr>
          <w:rStyle w:val="VerbatimChar"/>
        </w:rPr>
        <w:t xml:space="preserve">center_c in Z_c</w:t>
      </w:r>
      <w:r>
        <w:br/>
      </w:r>
      <w:r>
        <w:rPr>
          <w:rStyle w:val="VerbatimChar"/>
        </w:rPr>
        <w:t xml:space="preserve">s_c, t_c : E_c -&gt; V_c</w:t>
      </w:r>
    </w:p>
    <w:p>
      <w:pPr>
        <w:pStyle w:val="FirstParagraph"/>
      </w:pPr>
      <w:r>
        <w:t xml:space="preserve">No edge begins or ends at the center marker. The runtime condition is stronger:</w:t>
      </w:r>
    </w:p>
    <w:p>
      <w:pPr>
        <w:pStyle w:val="SourceCode"/>
      </w:pPr>
      <w:r>
        <w:rPr>
          <w:rStyle w:val="VerbatimChar"/>
        </w:rPr>
        <w:t xml:space="preserve">center_c not in {</w:t>
      </w:r>
      <w:r>
        <w:br/>
      </w:r>
      <w:r>
        <w:rPr>
          <w:rStyle w:val="VerbatimChar"/>
        </w:rPr>
        <w:t xml:space="preserve">  trainable targets,</w:t>
      </w:r>
      <w:r>
        <w:br/>
      </w:r>
      <w:r>
        <w:rPr>
          <w:rStyle w:val="VerbatimChar"/>
        </w:rPr>
        <w:t xml:space="preserve">  routeable destinations,</w:t>
      </w:r>
      <w:r>
        <w:br/>
      </w:r>
      <w:r>
        <w:rPr>
          <w:rStyle w:val="VerbatimChar"/>
        </w:rPr>
        <w:t xml:space="preserve">  mutable serialized state,</w:t>
      </w:r>
      <w:r>
        <w:br/>
      </w:r>
      <w:r>
        <w:rPr>
          <w:rStyle w:val="VerbatimChar"/>
        </w:rPr>
        <w:t xml:space="preserve">  optimization objectives,</w:t>
      </w:r>
      <w:r>
        <w:br/>
      </w:r>
      <w:r>
        <w:rPr>
          <w:rStyle w:val="VerbatimChar"/>
        </w:rPr>
        <w:t xml:space="preserve">  model outputs,</w:t>
      </w:r>
      <w:r>
        <w:br/>
      </w:r>
      <w:r>
        <w:rPr>
          <w:rStyle w:val="VerbatimChar"/>
        </w:rPr>
        <w:t xml:space="preserve">  terminal declarations</w:t>
      </w:r>
      <w:r>
        <w:br/>
      </w:r>
      <w:r>
        <w:rPr>
          <w:rStyle w:val="VerbatimChar"/>
        </w:rPr>
        <w:t xml:space="preserve">}</w:t>
      </w:r>
    </w:p>
    <w:p>
      <w:pPr>
        <w:pStyle w:val="FirstParagraph"/>
      </w:pPr>
      <w:r>
        <w:t xml:space="preserve">The architecture still computes working centroids. A centroid may summarize the navigational core of a facet under a declared gauge. It can move as evidence changes. It can be serialized, compared, visualized, and used to retrieve precedents. It remains a coordinate into the field.</w:t>
      </w:r>
    </w:p>
    <w:p>
      <w:pPr>
        <w:pStyle w:val="BodyText"/>
      </w:pPr>
      <w:r>
        <w:t xml:space="preserve">The center does something different: it prevents the coordinate from becoming the thing itself.</w:t>
      </w:r>
    </w:p>
    <w:p>
      <w:pPr>
        <w:pStyle w:val="BodyText"/>
      </w:pPr>
      <w:r>
        <w:t xml:space="preserve">This distinction allows lawful closure. Suppose a mission-state claim has sufficient physical, temporal, authority, and correction support. FORKED may stabilize the claim and declare it within the mission horizon. The center remains open because the mission declaration does not acquire universal authority over every future context, observer, or higher horizon. A branch closes; the world does not.</w:t>
      </w:r>
    </w:p>
    <w:p>
      <w:pPr>
        <w:pStyle w:val="BodyText"/>
      </w:pPr>
      <w:r>
        <w:t xml:space="preserve">Center exclusion also blocks context laundering. If a path is forbidden in context</w:t>
      </w:r>
      <w:r>
        <w:t xml:space="preserve"> </w:t>
      </w:r>
      <w:r>
        <w:rPr>
          <w:rStyle w:val="VerbatimChar"/>
        </w:rPr>
        <w:t xml:space="preserve">c</w:t>
      </w:r>
      <w:r>
        <w:t xml:space="preserve">, an actor cannot select a new context</w:t>
      </w:r>
      <w:r>
        <w:t xml:space="preserve"> </w:t>
      </w:r>
      <w:r>
        <w:rPr>
          <w:rStyle w:val="VerbatimChar"/>
        </w:rPr>
        <w:t xml:space="preserve">d</w:t>
      </w:r>
      <w:r>
        <w:t xml:space="preserve"> </w:t>
      </w:r>
      <w:r>
        <w:t xml:space="preserve">merely to create a friendlier local centroid. The local gauge may change, but founding anchors and telos must survive transport. This is especially important for institutional systems in which teams can rename the same action as experimentation, exception, emergency, or innovation to bypass the authority surface that would otherwise govern it.</w:t>
      </w:r>
    </w:p>
    <w:bookmarkEnd w:id="42"/>
    <w:bookmarkStart w:id="46" w:name="Xdbe671a811d00ca61779e7f915b866e01131d65"/>
    <w:p>
      <w:pPr>
        <w:pStyle w:val="Heading2"/>
      </w:pPr>
      <w:r>
        <w:t xml:space="preserve">10. Six facets as a partially recursive fractal</w:t>
      </w:r>
    </w:p>
    <w:p>
      <w:pPr>
        <w:pStyle w:val="FirstParagraph"/>
      </w:pPr>
      <w:r>
        <w:t xml:space="preserve">The six facets are not six equal features. Each is a constitutional read with a different function:</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Facet</w:t>
            </w:r>
          </w:p>
        </w:tc>
        <w:tc>
          <w:tcPr/>
          <w:p>
            <w:pPr>
              <w:pStyle w:val="Compact"/>
              <w:jc w:val="left"/>
            </w:pPr>
            <w:r>
              <w:t xml:space="preserve">Governing question</w:t>
            </w:r>
          </w:p>
        </w:tc>
        <w:tc>
          <w:tcPr/>
          <w:p>
            <w:pPr>
              <w:pStyle w:val="Compact"/>
              <w:jc w:val="left"/>
            </w:pPr>
            <w:r>
              <w:t xml:space="preserve">Failure if absent</w:t>
            </w:r>
          </w:p>
        </w:tc>
      </w:tr>
      <w:tr>
        <w:tc>
          <w:tcPr/>
          <w:p>
            <w:pPr>
              <w:pStyle w:val="Compact"/>
              <w:jc w:val="left"/>
            </w:pPr>
            <w:r>
              <w:rPr>
                <w:b/>
                <w:bCs/>
              </w:rPr>
              <w:t xml:space="preserve">KAT</w:t>
            </w:r>
          </w:p>
        </w:tc>
        <w:tc>
          <w:tcPr/>
          <w:p>
            <w:pPr>
              <w:pStyle w:val="Compact"/>
              <w:jc w:val="left"/>
            </w:pPr>
            <w:r>
              <w:t xml:space="preserve">What is positively established, under what source-tense and scope?</w:t>
            </w:r>
          </w:p>
        </w:tc>
        <w:tc>
          <w:tcPr/>
          <w:p>
            <w:pPr>
              <w:pStyle w:val="Compact"/>
              <w:jc w:val="left"/>
            </w:pPr>
            <w:r>
              <w:t xml:space="preserve">The system cannot act or distinguish evidence from speculation.</w:t>
            </w:r>
          </w:p>
        </w:tc>
      </w:tr>
      <w:tr>
        <w:tc>
          <w:tcPr/>
          <w:p>
            <w:pPr>
              <w:pStyle w:val="Compact"/>
              <w:jc w:val="left"/>
            </w:pPr>
            <w:r>
              <w:rPr>
                <w:b/>
                <w:bCs/>
              </w:rPr>
              <w:t xml:space="preserve">APO</w:t>
            </w:r>
          </w:p>
        </w:tc>
        <w:tc>
          <w:tcPr/>
          <w:p>
            <w:pPr>
              <w:pStyle w:val="Compact"/>
              <w:jc w:val="left"/>
            </w:pPr>
            <w:r>
              <w:t xml:space="preserve">What must not be assumed, imported, exposed, collapsed, or crowned?</w:t>
            </w:r>
          </w:p>
        </w:tc>
        <w:tc>
          <w:tcPr/>
          <w:p>
            <w:pPr>
              <w:pStyle w:val="Compact"/>
              <w:jc w:val="left"/>
            </w:pPr>
            <w:r>
              <w:t xml:space="preserve">Similarity and confidence silently expand jurisdiction.</w:t>
            </w:r>
          </w:p>
        </w:tc>
      </w:tr>
      <w:tr>
        <w:tc>
          <w:tcPr/>
          <w:p>
            <w:pPr>
              <w:pStyle w:val="Compact"/>
              <w:jc w:val="left"/>
            </w:pPr>
            <w:r>
              <w:rPr>
                <w:b/>
                <w:bCs/>
              </w:rPr>
              <w:t xml:space="preserve">PAR</w:t>
            </w:r>
          </w:p>
        </w:tc>
        <w:tc>
          <w:tcPr/>
          <w:p>
            <w:pPr>
              <w:pStyle w:val="Compact"/>
              <w:jc w:val="left"/>
            </w:pPr>
            <w:r>
              <w:t xml:space="preserve">Where do authority, standing, burden, visibility, and hidden power sit?</w:t>
            </w:r>
          </w:p>
        </w:tc>
        <w:tc>
          <w:tcPr/>
          <w:p>
            <w:pPr>
              <w:pStyle w:val="Compact"/>
              <w:jc w:val="left"/>
            </w:pPr>
            <w:r>
              <w:t xml:space="preserve">The interface hides who controls and who pays.</w:t>
            </w:r>
          </w:p>
        </w:tc>
      </w:tr>
      <w:tr>
        <w:tc>
          <w:tcPr/>
          <w:p>
            <w:pPr>
              <w:pStyle w:val="Compact"/>
              <w:jc w:val="left"/>
            </w:pPr>
            <w:r>
              <w:rPr>
                <w:b/>
                <w:bCs/>
              </w:rPr>
              <w:t xml:space="preserve">PLE</w:t>
            </w:r>
          </w:p>
        </w:tc>
        <w:tc>
          <w:tcPr/>
          <w:p>
            <w:pPr>
              <w:pStyle w:val="Compact"/>
              <w:jc w:val="left"/>
            </w:pPr>
            <w:r>
              <w:t xml:space="preserve">What complement, witness, interface, audit, or handoff is required?</w:t>
            </w:r>
          </w:p>
        </w:tc>
        <w:tc>
          <w:tcPr/>
          <w:p>
            <w:pPr>
              <w:pStyle w:val="Compact"/>
              <w:jc w:val="left"/>
            </w:pPr>
            <w:r>
              <w:t xml:space="preserve">The system confuses an incomplete chain with a failed object.</w:t>
            </w:r>
          </w:p>
        </w:tc>
      </w:tr>
      <w:tr>
        <w:tc>
          <w:tcPr/>
          <w:p>
            <w:pPr>
              <w:pStyle w:val="Compact"/>
              <w:jc w:val="left"/>
            </w:pPr>
            <w:r>
              <w:rPr>
                <w:b/>
                <w:bCs/>
              </w:rPr>
              <w:t xml:space="preserve">ENA</w:t>
            </w:r>
          </w:p>
        </w:tc>
        <w:tc>
          <w:tcPr/>
          <w:p>
            <w:pPr>
              <w:pStyle w:val="Compact"/>
              <w:jc w:val="left"/>
            </w:pPr>
            <w:r>
              <w:t xml:space="preserve">How can the mechanism invert, overuse itself, underuse itself, or look right while pulling wrong?</w:t>
            </w:r>
          </w:p>
        </w:tc>
        <w:tc>
          <w:tcPr/>
          <w:p>
            <w:pPr>
              <w:pStyle w:val="Compact"/>
              <w:jc w:val="left"/>
            </w:pPr>
            <w:r>
              <w:t xml:space="preserve">The guard becomes a new failure source.</w:t>
            </w:r>
          </w:p>
        </w:tc>
      </w:tr>
      <w:tr>
        <w:tc>
          <w:tcPr/>
          <w:p>
            <w:pPr>
              <w:pStyle w:val="Compact"/>
              <w:jc w:val="left"/>
            </w:pPr>
            <w:r>
              <w:rPr>
                <w:b/>
                <w:bCs/>
              </w:rPr>
              <w:t xml:space="preserve">TEL</w:t>
            </w:r>
          </w:p>
        </w:tc>
        <w:tc>
          <w:tcPr/>
          <w:p>
            <w:pPr>
              <w:pStyle w:val="Compact"/>
              <w:jc w:val="left"/>
            </w:pPr>
            <w:r>
              <w:t xml:space="preserve">What purpose governs motion, cost, and stopping conditions?</w:t>
            </w:r>
          </w:p>
        </w:tc>
        <w:tc>
          <w:tcPr/>
          <w:p>
            <w:pPr>
              <w:pStyle w:val="Compact"/>
              <w:jc w:val="left"/>
            </w:pPr>
            <w:r>
              <w:t xml:space="preserve">Local metrics optimize away the reason the system exists.</w:t>
            </w:r>
          </w:p>
        </w:tc>
      </w:tr>
    </w:tbl>
    <w:p>
      <w:pPr>
        <w:pStyle w:val="BodyText"/>
      </w:pPr>
      <w:r>
        <w:t xml:space="preserve">The facets form three primary tension polars.</w:t>
      </w:r>
    </w:p>
    <w:p>
      <w:pPr>
        <w:pStyle w:val="CaptionedFigure"/>
      </w:pPr>
      <w:r>
        <w:drawing>
          <wp:inline>
            <wp:extent cx="4745990" cy="2161319"/>
            <wp:effectExtent b="0" l="0" r="0" t="0"/>
            <wp:docPr descr="Figure 3. The six facets form reality, responsibility, and completion polars with cross-cables between them." title="" id="44" name="Picture"/>
            <a:graphic>
              <a:graphicData uri="http://schemas.openxmlformats.org/drawingml/2006/picture">
                <pic:pic>
                  <pic:nvPicPr>
                    <pic:cNvPr descr="figures/figure03_polar_tension.png" id="45" name="Picture"/>
                    <pic:cNvPicPr>
                      <a:picLocks noChangeArrowheads="1" noChangeAspect="1"/>
                    </pic:cNvPicPr>
                  </pic:nvPicPr>
                  <pic:blipFill>
                    <a:blip r:embed="rId43"/>
                    <a:stretch>
                      <a:fillRect/>
                    </a:stretch>
                  </pic:blipFill>
                  <pic:spPr bwMode="auto">
                    <a:xfrm>
                      <a:off x="0" y="0"/>
                      <a:ext cx="4745990" cy="2161319"/>
                    </a:xfrm>
                    <a:prstGeom prst="rect">
                      <a:avLst/>
                    </a:prstGeom>
                    <a:noFill/>
                    <a:ln w="9525">
                      <a:noFill/>
                      <a:headEnd/>
                      <a:tailEnd/>
                    </a:ln>
                  </pic:spPr>
                </pic:pic>
              </a:graphicData>
            </a:graphic>
          </wp:inline>
        </w:drawing>
      </w:r>
    </w:p>
    <w:p>
      <w:pPr>
        <w:pStyle w:val="ImageCaption"/>
      </w:pPr>
      <w:r>
        <w:t xml:space="preserve">Figure 3. The six facets form reality, responsibility, and completion polars with cross-cables between them.</w:t>
      </w:r>
    </w:p>
    <w:p>
      <w:pPr>
        <w:pStyle w:val="BodyText"/>
      </w:pPr>
      <w:r>
        <w:rPr>
          <w:b/>
          <w:bCs/>
        </w:rPr>
        <w:t xml:space="preserve">KAT-APO is the reality polar.</w:t>
      </w:r>
      <w:r>
        <w:t xml:space="preserve"> </w:t>
      </w:r>
      <w:r>
        <w:t xml:space="preserve">KAT without APO allows the positively known to expand beyond its receipts. APO without KAT converts humility into permanent suspension.</w:t>
      </w:r>
    </w:p>
    <w:p>
      <w:pPr>
        <w:pStyle w:val="BodyText"/>
      </w:pPr>
      <w:r>
        <w:rPr>
          <w:b/>
          <w:bCs/>
        </w:rPr>
        <w:t xml:space="preserve">PAR-TEL is the responsibility polar.</w:t>
      </w:r>
      <w:r>
        <w:t xml:space="preserve"> </w:t>
      </w:r>
      <w:r>
        <w:t xml:space="preserve">PAR without TEL makes authority and burden self-justifying. TEL without PAR turns purpose into disembodied language that ignores who controls, who is exposed, and who carries liability.</w:t>
      </w:r>
    </w:p>
    <w:p>
      <w:pPr>
        <w:pStyle w:val="BodyText"/>
      </w:pPr>
      <w:r>
        <w:rPr>
          <w:b/>
          <w:bCs/>
        </w:rPr>
        <w:t xml:space="preserve">PLE-ENA is the completion polar.</w:t>
      </w:r>
      <w:r>
        <w:t xml:space="preserve"> </w:t>
      </w:r>
      <w:r>
        <w:t xml:space="preserve">PLE without ENA keeps adding capability and witnesses without testing inversion. ENA without PLE produces sophisticated paralysis.</w:t>
      </w:r>
    </w:p>
    <w:p>
      <w:pPr>
        <w:pStyle w:val="BodyText"/>
      </w:pPr>
      <w:r>
        <w:t xml:space="preserve">The fractal is partially recursive. KAT may expand into a sub-splat when one positive claim contains independent evidence and lifecycle geometry. PAR may expand into separate principal, operator, certifier, and affected-party splats. PLE may expand into a supply chain, test campaign, or missing-observer graph. APO and ENA may expose new lanes but are prevented from recursively amplifying fear without new evidence. TEL can govern nested scopes but cannot rewrite its own founding purpose merely because local optimization prefers a different one.</w:t>
      </w:r>
    </w:p>
    <w:p>
      <w:pPr>
        <w:pStyle w:val="BodyText"/>
      </w:pPr>
      <w:r>
        <w:t xml:space="preserve">Every recursive expansion consumes budget. The system stops when additional decomposition adds no decision-relevant distinction, exceeds the responsibility envelope, invents false symmetry, or attempts to serialize a sovereign human interior. The result is fractal where the object requires it and leaf-like where physics, procedure, or an admitted rule is already bounded.</w:t>
      </w:r>
    </w:p>
    <w:bookmarkEnd w:id="46"/>
    <w:bookmarkStart w:id="47" w:name="X10463485b3df6382e83c84b44b5942c83dc00c3"/>
    <w:p>
      <w:pPr>
        <w:pStyle w:val="Heading2"/>
      </w:pPr>
      <w:r>
        <w:t xml:space="preserve">11. Working centroids, gauges, and non-sovereign models</w:t>
      </w:r>
    </w:p>
    <w:p>
      <w:pPr>
        <w:pStyle w:val="FirstParagraph"/>
      </w:pPr>
      <w:r>
        <w:t xml:space="preserve">A working centroid is a movable, facet-relative coordinate. It may be a vector, graph core, prototype, basis, or narrative. FORKED uses several working gauges:</w:t>
      </w:r>
    </w:p>
    <w:p>
      <w:pPr>
        <w:pStyle w:val="Compact"/>
        <w:numPr>
          <w:ilvl w:val="0"/>
          <w:numId w:val="1007"/>
        </w:numPr>
      </w:pPr>
      <w:r>
        <w:t xml:space="preserve">structural terrain dimensions for fable and failure-shape navigation;</w:t>
      </w:r>
    </w:p>
    <w:p>
      <w:pPr>
        <w:pStyle w:val="Compact"/>
        <w:numPr>
          <w:ilvl w:val="0"/>
          <w:numId w:val="1007"/>
        </w:numPr>
      </w:pPr>
      <w:r>
        <w:t xml:space="preserve">evidence-lane coverage;</w:t>
      </w:r>
    </w:p>
    <w:p>
      <w:pPr>
        <w:pStyle w:val="Compact"/>
        <w:numPr>
          <w:ilvl w:val="0"/>
          <w:numId w:val="1007"/>
        </w:numPr>
      </w:pPr>
      <w:r>
        <w:t xml:space="preserve">observer reachability;</w:t>
      </w:r>
    </w:p>
    <w:p>
      <w:pPr>
        <w:pStyle w:val="Compact"/>
        <w:numPr>
          <w:ilvl w:val="0"/>
          <w:numId w:val="1007"/>
        </w:numPr>
      </w:pPr>
      <w:r>
        <w:t xml:space="preserve">responsibility load;</w:t>
      </w:r>
    </w:p>
    <w:p>
      <w:pPr>
        <w:pStyle w:val="Compact"/>
        <w:numPr>
          <w:ilvl w:val="0"/>
          <w:numId w:val="1007"/>
        </w:numPr>
      </w:pPr>
      <w:r>
        <w:t xml:space="preserve">mission horizon;</w:t>
      </w:r>
    </w:p>
    <w:p>
      <w:pPr>
        <w:pStyle w:val="Compact"/>
        <w:numPr>
          <w:ilvl w:val="0"/>
          <w:numId w:val="1007"/>
        </w:numPr>
      </w:pPr>
      <w:r>
        <w:t xml:space="preserve">dependency coverage;</w:t>
      </w:r>
    </w:p>
    <w:p>
      <w:pPr>
        <w:pStyle w:val="Compact"/>
        <w:numPr>
          <w:ilvl w:val="0"/>
          <w:numId w:val="1007"/>
        </w:numPr>
      </w:pPr>
      <w:r>
        <w:t xml:space="preserve">correction residue;</w:t>
      </w:r>
    </w:p>
    <w:p>
      <w:pPr>
        <w:pStyle w:val="Compact"/>
        <w:numPr>
          <w:ilvl w:val="0"/>
          <w:numId w:val="1007"/>
        </w:numPr>
      </w:pPr>
      <w:r>
        <w:t xml:space="preserve">economic feasibility.</w:t>
      </w:r>
    </w:p>
    <w:p>
      <w:pPr>
        <w:pStyle w:val="FirstParagraph"/>
      </w:pPr>
      <w:r>
        <w:t xml:space="preserve">The Mahalanobis splat used by the Aesop field is one such gauge. It computes proximity between a current eight-dimensional structural query and authored archetype distributions. That proximity is useful because dimensions can carry different spreads and because an APO veto can remove a nearby candidate. It does not transform the archetype into truth. The component itself labels its output</w:t>
      </w:r>
      <w:r>
        <w:t xml:space="preserve"> </w:t>
      </w:r>
      <w:r>
        <w:rPr>
          <w:rStyle w:val="VerbatimChar"/>
        </w:rPr>
        <w:t xml:space="preserve">working_centroid_field</w:t>
      </w:r>
      <w:r>
        <w:t xml:space="preserve">, sets</w:t>
      </w:r>
      <w:r>
        <w:t xml:space="preserve"> </w:t>
      </w:r>
      <w:r>
        <w:rPr>
          <w:rStyle w:val="VerbatimChar"/>
        </w:rPr>
        <w:t xml:space="preserve">is_center = false</w:t>
      </w:r>
      <w:r>
        <w:t xml:space="preserve">, preserves weak mixture entries, and emits a receipt.</w:t>
      </w:r>
      <w:r>
        <w:t xml:space="preserve"> </w:t>
      </w:r>
      <w:hyperlink w:anchor="ref-AesopField2026">
        <w:r>
          <w:rPr>
            <w:rStyle w:val="Hyperlink"/>
          </w:rPr>
          <w:t xml:space="preserve">[21]</w:t>
        </w:r>
      </w:hyperlink>
    </w:p>
    <w:p>
      <w:pPr>
        <w:pStyle w:val="BodyText"/>
      </w:pPr>
      <w:r>
        <w:t xml:space="preserve">Multiple models can propose centroids under different gauges. A local embedding model may retrieve a shape analogue. A graph engine may expose a hidden dependency. A language model may articulate an authority ambiguity. A deterministic checker may reject a schema. A human may identify the mission telos or lived burden none of the tools can infer lawfully. The parent architecture does not require one model to own the terrain. It requires every proposal to enter through a typed authority and receipt boundary.</w:t>
      </w:r>
    </w:p>
    <w:bookmarkEnd w:id="47"/>
    <w:bookmarkStart w:id="48" w:name="X80ea97a8826f2abb56442d55bdb95599fb936c9"/>
    <w:p>
      <w:pPr>
        <w:pStyle w:val="Heading2"/>
      </w:pPr>
      <w:r>
        <w:t xml:space="preserve">12. Suspension is a governed state, not a mood</w:t>
      </w:r>
    </w:p>
    <w:p>
      <w:pPr>
        <w:pStyle w:val="FirstParagraph"/>
      </w:pPr>
      <w:r>
        <w:t xml:space="preserve">Uncertainty has two common failure modes. The system can collapse too early, converting incomplete evidence into settled state. Or it can remain open too long, converting the fear of error into mission failure. FORKED treats suspension as a lifecycle-bearing object with entry conditions, obligations, maximum intervals, release criteria, and correction paths.</w:t>
      </w:r>
    </w:p>
    <w:p>
      <w:pPr>
        <w:pStyle w:val="BodyText"/>
      </w:pPr>
      <w:r>
        <w:t xml:space="preserve">A suspension ticket includes:</w:t>
      </w:r>
    </w:p>
    <w:p>
      <w:pPr>
        <w:pStyle w:val="SourceCode"/>
      </w:pPr>
      <w:r>
        <w:rPr>
          <w:rStyle w:val="VerbatimChar"/>
        </w:rPr>
        <w:t xml:space="preserve">SuspensionTicket = {</w:t>
      </w:r>
      <w:r>
        <w:br/>
      </w:r>
      <w:r>
        <w:rPr>
          <w:rStyle w:val="VerbatimChar"/>
        </w:rPr>
        <w:t xml:space="preserve">  object,</w:t>
      </w:r>
      <w:r>
        <w:br/>
      </w:r>
      <w:r>
        <w:rPr>
          <w:rStyle w:val="VerbatimChar"/>
        </w:rPr>
        <w:t xml:space="preserve">  reason,</w:t>
      </w:r>
      <w:r>
        <w:br/>
      </w:r>
      <w:r>
        <w:rPr>
          <w:rStyle w:val="VerbatimChar"/>
        </w:rPr>
        <w:t xml:space="preserve">  responsibility_class,</w:t>
      </w:r>
      <w:r>
        <w:br/>
      </w:r>
      <w:r>
        <w:rPr>
          <w:rStyle w:val="VerbatimChar"/>
        </w:rPr>
        <w:t xml:space="preserve">  horizon,</w:t>
      </w:r>
      <w:r>
        <w:br/>
      </w:r>
      <w:r>
        <w:rPr>
          <w:rStyle w:val="VerbatimChar"/>
        </w:rPr>
        <w:t xml:space="preserve">  live_branches,</w:t>
      </w:r>
      <w:r>
        <w:br/>
      </w:r>
      <w:r>
        <w:rPr>
          <w:rStyle w:val="VerbatimChar"/>
        </w:rPr>
        <w:t xml:space="preserve">  missing_receipts,</w:t>
      </w:r>
      <w:r>
        <w:br/>
      </w:r>
      <w:r>
        <w:rPr>
          <w:rStyle w:val="VerbatimChar"/>
        </w:rPr>
        <w:t xml:space="preserve">  active_clamps,</w:t>
      </w:r>
      <w:r>
        <w:br/>
      </w:r>
      <w:r>
        <w:rPr>
          <w:rStyle w:val="VerbatimChar"/>
        </w:rPr>
        <w:t xml:space="preserve">  evidence_obligations,</w:t>
      </w:r>
      <w:r>
        <w:br/>
      </w:r>
      <w:r>
        <w:rPr>
          <w:rStyle w:val="VerbatimChar"/>
        </w:rPr>
        <w:t xml:space="preserve">  entered_at,</w:t>
      </w:r>
      <w:r>
        <w:br/>
      </w:r>
      <w:r>
        <w:rPr>
          <w:rStyle w:val="VerbatimChar"/>
        </w:rPr>
        <w:t xml:space="preserve">  maximum_hold,</w:t>
      </w:r>
      <w:r>
        <w:br/>
      </w:r>
      <w:r>
        <w:rPr>
          <w:rStyle w:val="VerbatimChar"/>
        </w:rPr>
        <w:t xml:space="preserve">  delay_cost,</w:t>
      </w:r>
      <w:r>
        <w:br/>
      </w:r>
      <w:r>
        <w:rPr>
          <w:rStyle w:val="VerbatimChar"/>
        </w:rPr>
        <w:t xml:space="preserve">  action_cost,</w:t>
      </w:r>
      <w:r>
        <w:br/>
      </w:r>
      <w:r>
        <w:rPr>
          <w:rStyle w:val="VerbatimChar"/>
        </w:rPr>
        <w:t xml:space="preserve">  review_condition,</w:t>
      </w:r>
      <w:r>
        <w:br/>
      </w:r>
      <w:r>
        <w:rPr>
          <w:rStyle w:val="VerbatimChar"/>
        </w:rPr>
        <w:t xml:space="preserve">  declaration_condition,</w:t>
      </w:r>
      <w:r>
        <w:br/>
      </w:r>
      <w:r>
        <w:rPr>
          <w:rStyle w:val="VerbatimChar"/>
        </w:rPr>
        <w:t xml:space="preserve">  refusal_condition,</w:t>
      </w:r>
      <w:r>
        <w:br/>
      </w:r>
      <w:r>
        <w:rPr>
          <w:rStyle w:val="VerbatimChar"/>
        </w:rPr>
        <w:t xml:space="preserve">  reopen_condition,</w:t>
      </w:r>
      <w:r>
        <w:br/>
      </w:r>
      <w:r>
        <w:rPr>
          <w:rStyle w:val="VerbatimChar"/>
        </w:rPr>
        <w:t xml:space="preserve">  correction_path,</w:t>
      </w:r>
      <w:r>
        <w:br/>
      </w:r>
      <w:r>
        <w:rPr>
          <w:rStyle w:val="VerbatimChar"/>
        </w:rPr>
        <w:t xml:space="preserve">  downstream_dependents</w:t>
      </w:r>
      <w:r>
        <w:br/>
      </w:r>
      <w:r>
        <w:rPr>
          <w:rStyle w:val="VerbatimChar"/>
        </w:rPr>
        <w:t xml:space="preserve">}</w:t>
      </w:r>
    </w:p>
    <w:p>
      <w:pPr>
        <w:pStyle w:val="FirstParagraph"/>
      </w:pPr>
      <w:r>
        <w:t xml:space="preserve">The system distinguishes unresolved, suspended, stabilizing, stable, declared, terminalized, reopened, demoted, localized, and expired states. The held-open center is not a suspension ticket. It has no release condition because it is not a pending answer. Branches do have release conditions. This distinction prevents open-center doctrine from becoming a performative excuse to avoid decisions.</w:t>
      </w:r>
    </w:p>
    <w:bookmarkEnd w:id="48"/>
    <w:bookmarkStart w:id="52" w:name="X1dda164e85499860b3491d9801f916f36b9f6eb"/>
    <w:p>
      <w:pPr>
        <w:pStyle w:val="Heading2"/>
      </w:pPr>
      <w:r>
        <w:t xml:space="preserve">13. Mechanical operators: cables, winches, clamps, absorbers, and fuses</w:t>
      </w:r>
    </w:p>
    <w:p>
      <w:pPr>
        <w:pStyle w:val="FirstParagraph"/>
      </w:pPr>
      <w:r>
        <w:t xml:space="preserve">The mechanical vocabulary names different runtime functions.</w:t>
      </w:r>
    </w:p>
    <w:p>
      <w:pPr>
        <w:pStyle w:val="BodyText"/>
      </w:pPr>
      <w:r>
        <w:t xml:space="preserve">A</w:t>
      </w:r>
      <w:r>
        <w:t xml:space="preserve"> </w:t>
      </w:r>
      <w:r>
        <w:rPr>
          <w:b/>
          <w:bCs/>
        </w:rPr>
        <w:t xml:space="preserve">cable</w:t>
      </w:r>
      <w:r>
        <w:t xml:space="preserve"> </w:t>
      </w:r>
      <w:r>
        <w:t xml:space="preserve">carries typed tension between two nodes or poles. It may connect certainty to suspension, speed to verification, local success to higher-horizon risk, visibility to privacy, or autonomy to meaningful human causality. A cable does not decide truth. It makes the cost of ignoring a live contradiction visible.</w:t>
      </w:r>
    </w:p>
    <w:p>
      <w:pPr>
        <w:pStyle w:val="BodyText"/>
      </w:pPr>
      <w:r>
        <w:t xml:space="preserve">A</w:t>
      </w:r>
      <w:r>
        <w:t xml:space="preserve"> </w:t>
      </w:r>
      <w:r>
        <w:rPr>
          <w:b/>
          <w:bCs/>
        </w:rPr>
        <w:t xml:space="preserve">winch</w:t>
      </w:r>
      <w:r>
        <w:t xml:space="preserve"> </w:t>
      </w:r>
      <w:r>
        <w:t xml:space="preserve">adjusts cable tension in response to current telemetry. It can increase inspection near an irreversible transition, lower a stale fable’s influence when the terrain diverges, compress branch presentation when attention becomes scarce, or demand an independent witness when dependency coverage falls. A model can recommend a tension change; the system records who may actually adjust it.</w:t>
      </w:r>
    </w:p>
    <w:p>
      <w:pPr>
        <w:pStyle w:val="BodyText"/>
      </w:pPr>
      <w:r>
        <w:t xml:space="preserve">A</w:t>
      </w:r>
      <w:r>
        <w:t xml:space="preserve"> </w:t>
      </w:r>
      <w:r>
        <w:rPr>
          <w:b/>
          <w:bCs/>
        </w:rPr>
        <w:t xml:space="preserve">clamp</w:t>
      </w:r>
      <w:r>
        <w:t xml:space="preserve"> </w:t>
      </w:r>
      <w:r>
        <w:t xml:space="preserve">blocks a path until explicit release conditions are met. Hard clamps govern center capture, absent authority, physical impossibility, illegal disclosure, irreversible mutation, and projection contamination. Soft clamps govern evidence acquisition, review, staged rollout, and degraded operation.</w:t>
      </w:r>
    </w:p>
    <w:p>
      <w:pPr>
        <w:pStyle w:val="BodyText"/>
      </w:pPr>
      <w:r>
        <w:t xml:space="preserve">Every consequential transition uses a dual clamp:</w:t>
      </w:r>
    </w:p>
    <w:p>
      <w:pPr>
        <w:pStyle w:val="SourceCode"/>
      </w:pPr>
      <w:r>
        <w:rPr>
          <w:rStyle w:val="VerbatimChar"/>
        </w:rPr>
        <w:t xml:space="preserve">ACTION CLAMP: prevents acting before the necessary conditions hold.</w:t>
      </w:r>
      <w:r>
        <w:br/>
      </w:r>
      <w:r>
        <w:rPr>
          <w:rStyle w:val="VerbatimChar"/>
        </w:rPr>
        <w:t xml:space="preserve">DELAY CLAMP: prevents continued suspension after delay becomes the greater lawful harm.</w:t>
      </w:r>
    </w:p>
    <w:p>
      <w:pPr>
        <w:pStyle w:val="FirstParagraph"/>
      </w:pPr>
      <w:r>
        <w:t xml:space="preserve">A</w:t>
      </w:r>
      <w:r>
        <w:t xml:space="preserve"> </w:t>
      </w:r>
      <w:r>
        <w:rPr>
          <w:b/>
          <w:bCs/>
        </w:rPr>
        <w:t xml:space="preserve">shock absorber</w:t>
      </w:r>
      <w:r>
        <w:t xml:space="preserve"> </w:t>
      </w:r>
      <w:r>
        <w:t xml:space="preserve">allows bounded, reversible motion. Sandboxes, shadow modes, staged deployments, rate limits, canaries, limited-scope declarations, and rollback drills are absorbers.</w:t>
      </w:r>
    </w:p>
    <w:p>
      <w:pPr>
        <w:pStyle w:val="BodyText"/>
      </w:pPr>
      <w:r>
        <w:t xml:space="preserve">A</w:t>
      </w:r>
      <w:r>
        <w:t xml:space="preserve"> </w:t>
      </w:r>
      <w:r>
        <w:rPr>
          <w:b/>
          <w:bCs/>
        </w:rPr>
        <w:t xml:space="preserve">fuse</w:t>
      </w:r>
      <w:r>
        <w:t xml:space="preserve"> </w:t>
      </w:r>
      <w:r>
        <w:t xml:space="preserve">deliberately breaks propagation when an upstream invariant fails. If source-time is untrusted, currentness-sensitive dependents demote. If a cache entry is quarantined, retrieval paths are cut. If a remote provider fails signature validation, its return is refused and the request re-enters a lawful lane.</w:t>
      </w:r>
    </w:p>
    <w:p>
      <w:pPr>
        <w:pStyle w:val="CaptionedFigure"/>
      </w:pPr>
      <w:r>
        <w:drawing>
          <wp:inline>
            <wp:extent cx="5515610" cy="3321527"/>
            <wp:effectExtent b="0" l="0" r="0" t="0"/>
            <wp:docPr descr="Figure 4. Mechanical suspension. Cables carry live tension, winches tune pressure, and dual clamps govern both action and delay." title="" id="50" name="Picture"/>
            <a:graphic>
              <a:graphicData uri="http://schemas.openxmlformats.org/drawingml/2006/picture">
                <pic:pic>
                  <pic:nvPicPr>
                    <pic:cNvPr descr="figures/figure05_mechanical_suspension.png" id="51" name="Picture"/>
                    <pic:cNvPicPr>
                      <a:picLocks noChangeArrowheads="1" noChangeAspect="1"/>
                    </pic:cNvPicPr>
                  </pic:nvPicPr>
                  <pic:blipFill>
                    <a:blip r:embed="rId49"/>
                    <a:stretch>
                      <a:fillRect/>
                    </a:stretch>
                  </pic:blipFill>
                  <pic:spPr bwMode="auto">
                    <a:xfrm>
                      <a:off x="0" y="0"/>
                      <a:ext cx="5515610" cy="3321527"/>
                    </a:xfrm>
                    <a:prstGeom prst="rect">
                      <a:avLst/>
                    </a:prstGeom>
                    <a:noFill/>
                    <a:ln w="9525">
                      <a:noFill/>
                      <a:headEnd/>
                      <a:tailEnd/>
                    </a:ln>
                  </pic:spPr>
                </pic:pic>
              </a:graphicData>
            </a:graphic>
          </wp:inline>
        </w:drawing>
      </w:r>
    </w:p>
    <w:p>
      <w:pPr>
        <w:pStyle w:val="ImageCaption"/>
      </w:pPr>
      <w:r>
        <w:t xml:space="preserve">Figure 4. Mechanical suspension. Cables carry live tension, winches tune pressure, and dual clamps govern both action and delay.</w:t>
      </w:r>
    </w:p>
    <w:bookmarkEnd w:id="52"/>
    <w:bookmarkStart w:id="53" w:name="X712e7091dd1bd8c0543ac8a2f429d6f53ba4a1e"/>
    <w:p>
      <w:pPr>
        <w:pStyle w:val="Heading2"/>
      </w:pPr>
      <w:r>
        <w:t xml:space="preserve">14. Responsibility classes select the assembly</w:t>
      </w:r>
    </w:p>
    <w:p>
      <w:pPr>
        <w:pStyle w:val="FirstParagraph"/>
      </w:pPr>
      <w:r>
        <w:t xml:space="preserve">Not every decision deserves the same machinery. A fixed gate stack over-governs reversible work and under-governs irreversible work. FORKED chooses the assembly from consequence, reversibility, blast radius, time criticality, authority ambiguity, agency impact, liability, dependency visibility, correction difficulty, physical constraints, economic capacity, points of no return, and horizon span.</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Class</w:t>
            </w:r>
          </w:p>
        </w:tc>
        <w:tc>
          <w:tcPr/>
          <w:p>
            <w:pPr>
              <w:pStyle w:val="Compact"/>
              <w:jc w:val="left"/>
            </w:pPr>
            <w:r>
              <w:t xml:space="preserve">Typical assembly</w:t>
            </w:r>
          </w:p>
        </w:tc>
      </w:tr>
      <w:tr>
        <w:tc>
          <w:tcPr/>
          <w:p>
            <w:pPr>
              <w:pStyle w:val="Compact"/>
              <w:jc w:val="left"/>
            </w:pPr>
            <w:r>
              <w:rPr>
                <w:b/>
                <w:bCs/>
              </w:rPr>
              <w:t xml:space="preserve">Informational</w:t>
            </w:r>
          </w:p>
        </w:tc>
        <w:tc>
          <w:tcPr/>
          <w:p>
            <w:pPr>
              <w:pStyle w:val="Compact"/>
              <w:jc w:val="left"/>
            </w:pPr>
            <w:r>
              <w:t xml:space="preserve">provenance, source-tense, expiry; no mutation authority</w:t>
            </w:r>
          </w:p>
        </w:tc>
      </w:tr>
      <w:tr>
        <w:tc>
          <w:tcPr/>
          <w:p>
            <w:pPr>
              <w:pStyle w:val="Compact"/>
              <w:jc w:val="left"/>
            </w:pPr>
            <w:r>
              <w:rPr>
                <w:b/>
                <w:bCs/>
              </w:rPr>
              <w:t xml:space="preserve">Reversible</w:t>
            </w:r>
          </w:p>
        </w:tc>
        <w:tc>
          <w:tcPr/>
          <w:p>
            <w:pPr>
              <w:pStyle w:val="Compact"/>
              <w:jc w:val="left"/>
            </w:pPr>
            <w:r>
              <w:t xml:space="preserve">soft cable tension, sandbox, rollback receipt, limited blast radius</w:t>
            </w:r>
          </w:p>
        </w:tc>
      </w:tr>
      <w:tr>
        <w:tc>
          <w:tcPr/>
          <w:p>
            <w:pPr>
              <w:pStyle w:val="Compact"/>
              <w:jc w:val="left"/>
            </w:pPr>
            <w:r>
              <w:rPr>
                <w:b/>
                <w:bCs/>
              </w:rPr>
              <w:t xml:space="preserve">Material</w:t>
            </w:r>
          </w:p>
        </w:tc>
        <w:tc>
          <w:tcPr/>
          <w:p>
            <w:pPr>
              <w:pStyle w:val="Compact"/>
              <w:jc w:val="left"/>
            </w:pPr>
            <w:r>
              <w:t xml:space="preserve">independent witness, authority gate, dependency scan, correction drill</w:t>
            </w:r>
          </w:p>
        </w:tc>
      </w:tr>
      <w:tr>
        <w:tc>
          <w:tcPr/>
          <w:p>
            <w:pPr>
              <w:pStyle w:val="Compact"/>
              <w:jc w:val="left"/>
            </w:pPr>
            <w:r>
              <w:rPr>
                <w:b/>
                <w:bCs/>
              </w:rPr>
              <w:t xml:space="preserve">Irreversible</w:t>
            </w:r>
          </w:p>
        </w:tc>
        <w:tc>
          <w:tcPr/>
          <w:p>
            <w:pPr>
              <w:pStyle w:val="Compact"/>
              <w:jc w:val="left"/>
            </w:pPr>
            <w:r>
              <w:t xml:space="preserve">hard action and delay clamps, explicit residual uncertainty, independent conformation</w:t>
            </w:r>
          </w:p>
        </w:tc>
      </w:tr>
      <w:tr>
        <w:tc>
          <w:tcPr/>
          <w:p>
            <w:pPr>
              <w:pStyle w:val="Compact"/>
              <w:jc w:val="left"/>
            </w:pPr>
            <w:r>
              <w:rPr>
                <w:b/>
                <w:bCs/>
              </w:rPr>
              <w:t xml:space="preserve">Constitutional</w:t>
            </w:r>
          </w:p>
        </w:tc>
        <w:tc>
          <w:tcPr/>
          <w:p>
            <w:pPr>
              <w:pStyle w:val="Compact"/>
              <w:jc w:val="left"/>
            </w:pPr>
            <w:r>
              <w:t xml:space="preserve">parent gate, center-exclusion scan, founding-telos review, canonical sole-writer</w:t>
            </w:r>
          </w:p>
        </w:tc>
      </w:tr>
    </w:tbl>
    <w:p>
      <w:pPr>
        <w:pStyle w:val="BodyText"/>
      </w:pPr>
      <w:r>
        <w:t xml:space="preserve">This is an engineering load class, not a moral ranking. Added decision time is neither inherently a defect nor a virtue. The question is whether the added cost was appropriate to the actual load.</w:t>
      </w:r>
    </w:p>
    <w:bookmarkEnd w:id="53"/>
    <w:bookmarkStart w:id="54" w:name="Xc659845795f0c5e4aa3e4b269c2b48a43b5f7b2"/>
    <w:p>
      <w:pPr>
        <w:pStyle w:val="Heading2"/>
      </w:pPr>
      <w:r>
        <w:t xml:space="preserve">15. Stabilization, declaration, and terminalization</w:t>
      </w:r>
    </w:p>
    <w:p>
      <w:pPr>
        <w:pStyle w:val="FirstParagraph"/>
      </w:pPr>
      <w:r>
        <w:t xml:space="preserve">FORKED does not stabilize a state because a scalar crosses a universal constant. Stabilization is a meet across the conditions required by the responsibility class and horizon:</w:t>
      </w:r>
    </w:p>
    <w:p>
      <w:pPr>
        <w:pStyle w:val="SourceCode"/>
      </w:pPr>
      <w:r>
        <w:rPr>
          <w:rStyle w:val="VerbatimChar"/>
        </w:rPr>
        <w:t xml:space="preserve">Stabilize(S,h) iff</w:t>
      </w:r>
      <w:r>
        <w:br/>
      </w:r>
      <w:r>
        <w:rPr>
          <w:rStyle w:val="VerbatimChar"/>
        </w:rPr>
        <w:t xml:space="preserve">  required_KAT(S,h)</w:t>
      </w:r>
      <w:r>
        <w:br/>
      </w:r>
      <w:r>
        <w:rPr>
          <w:rStyle w:val="VerbatimChar"/>
        </w:rPr>
        <w:t xml:space="preserve">  and required_APO(S,h)</w:t>
      </w:r>
      <w:r>
        <w:br/>
      </w:r>
      <w:r>
        <w:rPr>
          <w:rStyle w:val="VerbatimChar"/>
        </w:rPr>
        <w:t xml:space="preserve">  and required_PAR(S,h)</w:t>
      </w:r>
      <w:r>
        <w:br/>
      </w:r>
      <w:r>
        <w:rPr>
          <w:rStyle w:val="VerbatimChar"/>
        </w:rPr>
        <w:t xml:space="preserve">  and required_PLE(S,h)</w:t>
      </w:r>
      <w:r>
        <w:br/>
      </w:r>
      <w:r>
        <w:rPr>
          <w:rStyle w:val="VerbatimChar"/>
        </w:rPr>
        <w:t xml:space="preserve">  and required_ENA(S,h)</w:t>
      </w:r>
      <w:r>
        <w:br/>
      </w:r>
      <w:r>
        <w:rPr>
          <w:rStyle w:val="VerbatimChar"/>
        </w:rPr>
        <w:t xml:space="preserve">  and required_TEL(S,h)</w:t>
      </w:r>
      <w:r>
        <w:br/>
      </w:r>
      <w:r>
        <w:rPr>
          <w:rStyle w:val="VerbatimChar"/>
        </w:rPr>
        <w:t xml:space="preserve">  and no_active_hard_clamp(S,h)</w:t>
      </w:r>
      <w:r>
        <w:br/>
      </w:r>
      <w:r>
        <w:rPr>
          <w:rStyle w:val="VerbatimChar"/>
        </w:rPr>
        <w:t xml:space="preserve">  and authority_present(S,h)</w:t>
      </w:r>
      <w:r>
        <w:br/>
      </w:r>
      <w:r>
        <w:rPr>
          <w:rStyle w:val="VerbatimChar"/>
        </w:rPr>
        <w:t xml:space="preserve">  and currentness_conformed(S,h)</w:t>
      </w:r>
      <w:r>
        <w:br/>
      </w:r>
      <w:r>
        <w:rPr>
          <w:rStyle w:val="VerbatimChar"/>
        </w:rPr>
        <w:t xml:space="preserve">  and dependency_coverage_sufficient(S,h)</w:t>
      </w:r>
      <w:r>
        <w:br/>
      </w:r>
      <w:r>
        <w:rPr>
          <w:rStyle w:val="VerbatimChar"/>
        </w:rPr>
        <w:t xml:space="preserve">  and agency_envelope_sufficient(S,h)</w:t>
      </w:r>
      <w:r>
        <w:br/>
      </w:r>
      <w:r>
        <w:rPr>
          <w:rStyle w:val="VerbatimChar"/>
        </w:rPr>
        <w:t xml:space="preserve">  and correction_path_viable(S,h)</w:t>
      </w:r>
      <w:r>
        <w:br/>
      </w:r>
      <w:r>
        <w:rPr>
          <w:rStyle w:val="VerbatimChar"/>
        </w:rPr>
        <w:t xml:space="preserve">  and economic_path_feasible(S,h)</w:t>
      </w:r>
      <w:r>
        <w:br/>
      </w:r>
      <w:r>
        <w:rPr>
          <w:rStyle w:val="VerbatimChar"/>
        </w:rPr>
        <w:t xml:space="preserve">  and cross_horizon_externalities_accounted(S,h)</w:t>
      </w:r>
    </w:p>
    <w:p>
      <w:pPr>
        <w:pStyle w:val="FirstParagraph"/>
      </w:pPr>
      <w:r>
        <w:t xml:space="preserve">Declaration is separate and requires declaration authority, explicit residual uncertainty, a preserved correction path, and a determination that continued suspension is not the greater lawful harm. Terminalization is separate again and requires survival through the correction window, reconciliation of dependents, absence of active reopen triggers, and terminalization authority.</w:t>
      </w:r>
    </w:p>
    <w:p>
      <w:pPr>
        <w:pStyle w:val="BodyText"/>
      </w:pPr>
      <w:r>
        <w:t xml:space="preserve">The current native range exercises this separation through</w:t>
      </w:r>
      <w:r>
        <w:t xml:space="preserve"> </w:t>
      </w:r>
      <w:r>
        <w:rPr>
          <w:rStyle w:val="VerbatimChar"/>
        </w:rPr>
        <w:t xml:space="preserve">hold -&gt; review -&gt; declare</w:t>
      </w:r>
      <w:r>
        <w:t xml:space="preserve">. A hold that exceeds its maximum interval becomes an architecture violation rather than a sign of prudence.</w:t>
      </w:r>
      <w:r>
        <w:t xml:space="preserve"> </w:t>
      </w:r>
      <w:hyperlink w:anchor="ref-ForkedCampaign2026">
        <w:r>
          <w:rPr>
            <w:rStyle w:val="Hyperlink"/>
          </w:rPr>
          <w:t xml:space="preserve">[11]</w:t>
        </w:r>
      </w:hyperlink>
    </w:p>
    <w:bookmarkEnd w:id="54"/>
    <w:bookmarkStart w:id="58" w:name="X3431d973173a114aa937c615f7e8a658501337a"/>
    <w:p>
      <w:pPr>
        <w:pStyle w:val="Heading2"/>
      </w:pPr>
      <w:r>
        <w:t xml:space="preserve">16. Quivers preserve recurrence; DAGs discharge responsibility</w:t>
      </w:r>
    </w:p>
    <w:p>
      <w:pPr>
        <w:pStyle w:val="FirstParagraph"/>
      </w:pPr>
      <w:r>
        <w:t xml:space="preserve">A quiver may contain cycles, mutual conditioning, repeated correction, and long-lived tension. An execution DAG cannot safely contain uncontrolled cycles because it must schedule dependencies and termination.</w:t>
      </w:r>
    </w:p>
    <w:p>
      <w:pPr>
        <w:pStyle w:val="CaptionedFigure"/>
      </w:pPr>
      <w:r>
        <w:drawing>
          <wp:inline>
            <wp:extent cx="6028690" cy="199939"/>
            <wp:effectExtent b="0" l="0" r="0" t="0"/>
            <wp:docPr descr="Figure 5. The living quiver is narrowed into a splat, admitted as a covenant, and lowered into executable DAGs with receipts." title="" id="56" name="Picture"/>
            <a:graphic>
              <a:graphicData uri="http://schemas.openxmlformats.org/drawingml/2006/picture">
                <pic:pic>
                  <pic:nvPicPr>
                    <pic:cNvPr descr="figures/figure04_quiver_to_dag.png" id="57" name="Picture"/>
                    <pic:cNvPicPr>
                      <a:picLocks noChangeArrowheads="1" noChangeAspect="1"/>
                    </pic:cNvPicPr>
                  </pic:nvPicPr>
                  <pic:blipFill>
                    <a:blip r:embed="rId55"/>
                    <a:stretch>
                      <a:fillRect/>
                    </a:stretch>
                  </pic:blipFill>
                  <pic:spPr bwMode="auto">
                    <a:xfrm>
                      <a:off x="0" y="0"/>
                      <a:ext cx="6028690" cy="199939"/>
                    </a:xfrm>
                    <a:prstGeom prst="rect">
                      <a:avLst/>
                    </a:prstGeom>
                    <a:noFill/>
                    <a:ln w="9525">
                      <a:noFill/>
                      <a:headEnd/>
                      <a:tailEnd/>
                    </a:ln>
                  </pic:spPr>
                </pic:pic>
              </a:graphicData>
            </a:graphic>
          </wp:inline>
        </w:drawing>
      </w:r>
    </w:p>
    <w:p>
      <w:pPr>
        <w:pStyle w:val="ImageCaption"/>
      </w:pPr>
      <w:r>
        <w:t xml:space="preserve">Figure 5. The living quiver is narrowed into a splat, admitted as a covenant, and lowered into executable DAGs with receipts.</w:t>
      </w:r>
    </w:p>
    <w:p>
      <w:pPr>
        <w:pStyle w:val="SourceCode"/>
      </w:pPr>
      <w:r>
        <w:rPr>
          <w:rStyle w:val="VerbatimChar"/>
        </w:rPr>
        <w:t xml:space="preserve">FQoQ possibility topology</w:t>
      </w:r>
      <w:r>
        <w:br/>
      </w:r>
      <w:r>
        <w:rPr>
          <w:rStyle w:val="VerbatimChar"/>
        </w:rPr>
        <w:t xml:space="preserve">  -&gt; splat lawful slice</w:t>
      </w:r>
      <w:r>
        <w:br/>
      </w:r>
      <w:r>
        <w:rPr>
          <w:rStyle w:val="VerbatimChar"/>
        </w:rPr>
        <w:t xml:space="preserve">  -&gt; admitted covenant</w:t>
      </w:r>
      <w:r>
        <w:br/>
      </w:r>
      <w:r>
        <w:rPr>
          <w:rStyle w:val="VerbatimChar"/>
        </w:rPr>
        <w:t xml:space="preserve">  -&gt; covenant expression</w:t>
      </w:r>
      <w:r>
        <w:br/>
      </w:r>
      <w:r>
        <w:rPr>
          <w:rStyle w:val="VerbatimChar"/>
        </w:rPr>
        <w:t xml:space="preserve">  -&gt; fragment DAG</w:t>
      </w:r>
      <w:r>
        <w:br/>
      </w:r>
      <w:r>
        <w:rPr>
          <w:rStyle w:val="VerbatimChar"/>
        </w:rPr>
        <w:t xml:space="preserve">  -&gt; adaptive run plan</w:t>
      </w:r>
      <w:r>
        <w:br/>
      </w:r>
      <w:r>
        <w:rPr>
          <w:rStyle w:val="VerbatimChar"/>
        </w:rPr>
        <w:t xml:space="preserve">  -&gt; canonical mount</w:t>
      </w:r>
      <w:r>
        <w:br/>
      </w:r>
      <w:r>
        <w:rPr>
          <w:rStyle w:val="VerbatimChar"/>
        </w:rPr>
        <w:t xml:space="preserve">  -&gt; fulfillment and rollback</w:t>
      </w:r>
      <w:r>
        <w:br/>
      </w:r>
      <w:r>
        <w:rPr>
          <w:rStyle w:val="VerbatimChar"/>
        </w:rPr>
        <w:t xml:space="preserve">  -&gt; receipt and write gate</w:t>
      </w:r>
      <w:r>
        <w:br/>
      </w:r>
      <w:r>
        <w:rPr>
          <w:rStyle w:val="VerbatimChar"/>
        </w:rPr>
        <w:t xml:space="preserve">  -&gt; next temporal quiver state</w:t>
      </w:r>
    </w:p>
    <w:p>
      <w:pPr>
        <w:pStyle w:val="FirstParagraph"/>
      </w:pPr>
      <w:r>
        <w:t xml:space="preserve">A spiral is represented as a time-expanded DAG. The DAG discharges one bounded responsibility. The quiver carries what returns after the discharge.</w:t>
      </w:r>
      <w:r>
        <w:t xml:space="preserve"> </w:t>
      </w:r>
      <w:r>
        <w:t xml:space="preserve"># Part III - Terrain, time, trajectory, and fables</w:t>
      </w:r>
    </w:p>
    <w:bookmarkEnd w:id="58"/>
    <w:bookmarkStart w:id="62" w:name="terrain-shape-outranks-memory-salience"/>
    <w:p>
      <w:pPr>
        <w:pStyle w:val="Heading2"/>
      </w:pPr>
      <w:r>
        <w:t xml:space="preserve">17. Terrain shape outranks memory salience</w:t>
      </w:r>
    </w:p>
    <w:p>
      <w:pPr>
        <w:pStyle w:val="FirstParagraph"/>
      </w:pPr>
      <w:r>
        <w:t xml:space="preserve">Past failures should influence present decisions when their structure conforms to the present terrain. They should not dominate merely because they are recent, emotionally vivid, institutionally notorious, or easy to name.</w:t>
      </w:r>
    </w:p>
    <w:p>
      <w:pPr>
        <w:pStyle w:val="BodyText"/>
      </w:pPr>
      <w:r>
        <w:t xml:space="preserve">FORKED separates two variables:</w:t>
      </w:r>
    </w:p>
    <w:p>
      <w:pPr>
        <w:pStyle w:val="SourceCode"/>
      </w:pPr>
      <w:r>
        <w:rPr>
          <w:rStyle w:val="VerbatimChar"/>
        </w:rPr>
        <w:t xml:space="preserve">memory salience = how available a precedent is to the observer</w:t>
      </w:r>
      <w:r>
        <w:br/>
      </w:r>
      <w:r>
        <w:rPr>
          <w:rStyle w:val="VerbatimChar"/>
        </w:rPr>
        <w:t xml:space="preserve">precedent standing = how much lawful influence the precedent may exert now</w:t>
      </w:r>
    </w:p>
    <w:p>
      <w:pPr>
        <w:pStyle w:val="FirstParagraph"/>
      </w:pPr>
      <w:r>
        <w:t xml:space="preserve">A failure can be salient and irrelevant. Another can be old and structurally load-bearing. The architecture therefore retrieves precedents through a staged gate:</w:t>
      </w:r>
    </w:p>
    <w:p>
      <w:pPr>
        <w:pStyle w:val="Compact"/>
        <w:numPr>
          <w:ilvl w:val="0"/>
          <w:numId w:val="1008"/>
        </w:numPr>
      </w:pPr>
      <w:r>
        <w:rPr>
          <w:b/>
          <w:bCs/>
        </w:rPr>
        <w:t xml:space="preserve">APO veto.</w:t>
      </w:r>
      <w:r>
        <w:t xml:space="preserve"> </w:t>
      </w:r>
      <w:r>
        <w:t xml:space="preserve">Remove candidates whose forbidden-path geometry conflicts with the current splat.</w:t>
      </w:r>
    </w:p>
    <w:p>
      <w:pPr>
        <w:pStyle w:val="Compact"/>
        <w:numPr>
          <w:ilvl w:val="0"/>
          <w:numId w:val="1008"/>
        </w:numPr>
      </w:pPr>
      <w:r>
        <w:rPr>
          <w:b/>
          <w:bCs/>
        </w:rPr>
        <w:t xml:space="preserve">Causal topology.</w:t>
      </w:r>
      <w:r>
        <w:t xml:space="preserve"> </w:t>
      </w:r>
      <w:r>
        <w:t xml:space="preserve">Compare dependency structure, authority transfer, omissions, correction paths, and failure sequence.</w:t>
      </w:r>
    </w:p>
    <w:p>
      <w:pPr>
        <w:pStyle w:val="Compact"/>
        <w:numPr>
          <w:ilvl w:val="0"/>
          <w:numId w:val="1008"/>
        </w:numPr>
      </w:pPr>
      <w:r>
        <w:rPr>
          <w:b/>
          <w:bCs/>
        </w:rPr>
        <w:t xml:space="preserve">Trajectory phase.</w:t>
      </w:r>
      <w:r>
        <w:t xml:space="preserve"> </w:t>
      </w:r>
      <w:r>
        <w:t xml:space="preserve">Compare whether the present system is entering, normalizing, depending on, defending, rupturing, or correcting the pattern.</w:t>
      </w:r>
    </w:p>
    <w:p>
      <w:pPr>
        <w:pStyle w:val="Compact"/>
        <w:numPr>
          <w:ilvl w:val="0"/>
          <w:numId w:val="1008"/>
        </w:numPr>
      </w:pPr>
      <w:r>
        <w:rPr>
          <w:b/>
          <w:bCs/>
        </w:rPr>
        <w:t xml:space="preserve">Horizon.</w:t>
      </w:r>
      <w:r>
        <w:t xml:space="preserve"> </w:t>
      </w:r>
      <w:r>
        <w:t xml:space="preserve">Compare task, mission, battle, campaign, war, institutional, or civilizational scope.</w:t>
      </w:r>
    </w:p>
    <w:p>
      <w:pPr>
        <w:pStyle w:val="Compact"/>
        <w:numPr>
          <w:ilvl w:val="0"/>
          <w:numId w:val="1008"/>
        </w:numPr>
      </w:pPr>
      <w:r>
        <w:rPr>
          <w:b/>
          <w:bCs/>
        </w:rPr>
        <w:t xml:space="preserve">Point of no return.</w:t>
      </w:r>
      <w:r>
        <w:t xml:space="preserve"> </w:t>
      </w:r>
      <w:r>
        <w:t xml:space="preserve">Compare what becomes irreversible and how close the current path is to that surface.</w:t>
      </w:r>
    </w:p>
    <w:p>
      <w:pPr>
        <w:pStyle w:val="Compact"/>
        <w:numPr>
          <w:ilvl w:val="0"/>
          <w:numId w:val="1008"/>
        </w:numPr>
      </w:pPr>
      <w:r>
        <w:rPr>
          <w:b/>
          <w:bCs/>
        </w:rPr>
        <w:t xml:space="preserve">Observer and agency geometry.</w:t>
      </w:r>
      <w:r>
        <w:t xml:space="preserve"> </w:t>
      </w:r>
      <w:r>
        <w:t xml:space="preserve">Compare who could see, who shaped the view, and whether challenge remained meaningful.</w:t>
      </w:r>
    </w:p>
    <w:p>
      <w:pPr>
        <w:pStyle w:val="Compact"/>
        <w:numPr>
          <w:ilvl w:val="0"/>
          <w:numId w:val="1008"/>
        </w:numPr>
      </w:pPr>
      <w:r>
        <w:rPr>
          <w:b/>
          <w:bCs/>
        </w:rPr>
        <w:t xml:space="preserve">Currentness.</w:t>
      </w:r>
      <w:r>
        <w:t xml:space="preserve"> </w:t>
      </w:r>
      <w:r>
        <w:t xml:space="preserve">Determine whether mechanism, law, environment, technology, authority, or physical conditions have changed.</w:t>
      </w:r>
    </w:p>
    <w:p>
      <w:pPr>
        <w:pStyle w:val="Compact"/>
        <w:numPr>
          <w:ilvl w:val="0"/>
          <w:numId w:val="1008"/>
        </w:numPr>
      </w:pPr>
      <w:r>
        <w:rPr>
          <w:b/>
          <w:bCs/>
        </w:rPr>
        <w:t xml:space="preserve">Working metric.</w:t>
      </w:r>
      <w:r>
        <w:t xml:space="preserve"> </w:t>
      </w:r>
      <w:r>
        <w:t xml:space="preserve">Only after the structural gates survive may an embedding or distance function rank candidates for inspection.</w:t>
      </w:r>
    </w:p>
    <w:p>
      <w:pPr>
        <w:pStyle w:val="FirstParagraph"/>
      </w:pPr>
      <w:r>
        <w:t xml:space="preserve">The internal terrain lineage contains a direct example of why this matters. A lexical retrieval matched the word used to describe a problem and selected the wrong doctrine. A six-ray shape strike with an APO veto selected the correct governing pattern instead. The resulting principle is explicit: rehydration is shape- and field-derived, not keyword-derived.</w:t>
      </w:r>
      <w:r>
        <w:t xml:space="preserve"> </w:t>
      </w:r>
      <w:hyperlink w:anchor="ref-Taylor2026OpenCenter">
        <w:r>
          <w:rPr>
            <w:rStyle w:val="Hyperlink"/>
          </w:rPr>
          <w:t xml:space="preserve">[8]</w:t>
        </w:r>
      </w:hyperlink>
      <w:r>
        <w:t xml:space="preserve">,</w:t>
      </w:r>
      <w:r>
        <w:t xml:space="preserve"> </w:t>
      </w:r>
      <w:hyperlink w:anchor="ref-TerrainDoctrine2026">
        <w:r>
          <w:rPr>
            <w:rStyle w:val="Hyperlink"/>
          </w:rPr>
          <w:t xml:space="preserve">[22]</w:t>
        </w:r>
      </w:hyperlink>
    </w:p>
    <w:p>
      <w:pPr>
        <w:pStyle w:val="BodyText"/>
      </w:pPr>
      <w:r>
        <w:t xml:space="preserve">A generic scoring form is:</w:t>
      </w:r>
    </w:p>
    <w:p>
      <w:pPr>
        <w:pStyle w:val="SourceCode"/>
      </w:pPr>
      <w:r>
        <w:rPr>
          <w:rStyle w:val="VerbatimChar"/>
        </w:rPr>
        <w:t xml:space="preserve">Standing(f | x) = V_APO(f,x) * [</w:t>
      </w:r>
      <w:r>
        <w:br/>
      </w:r>
      <w:r>
        <w:rPr>
          <w:rStyle w:val="VerbatimChar"/>
        </w:rPr>
        <w:t xml:space="preserve">    w_s * ShapeConformation(f,x)</w:t>
      </w:r>
      <w:r>
        <w:br/>
      </w:r>
      <w:r>
        <w:rPr>
          <w:rStyle w:val="VerbatimChar"/>
        </w:rPr>
        <w:t xml:space="preserve">  + w_t * TrajectoryPhase(f,x)</w:t>
      </w:r>
      <w:r>
        <w:br/>
      </w:r>
      <w:r>
        <w:rPr>
          <w:rStyle w:val="VerbatimChar"/>
        </w:rPr>
        <w:t xml:space="preserve">  + w_h * HorizonMatch(f,x)</w:t>
      </w:r>
      <w:r>
        <w:br/>
      </w:r>
      <w:r>
        <w:rPr>
          <w:rStyle w:val="VerbatimChar"/>
        </w:rPr>
        <w:t xml:space="preserve">  + w_p * PONRMatch(f,x)</w:t>
      </w:r>
      <w:r>
        <w:br/>
      </w:r>
      <w:r>
        <w:rPr>
          <w:rStyle w:val="VerbatimChar"/>
        </w:rPr>
        <w:t xml:space="preserve">  + w_o * ObserverAgencyMatch(f,x)</w:t>
      </w:r>
      <w:r>
        <w:br/>
      </w:r>
      <w:r>
        <w:rPr>
          <w:rStyle w:val="VerbatimChar"/>
        </w:rPr>
        <w:t xml:space="preserve">  + w_r * ReceiptQuality(f)</w:t>
      </w:r>
      <w:r>
        <w:br/>
      </w:r>
      <w:r>
        <w:rPr>
          <w:rStyle w:val="VerbatimChar"/>
        </w:rPr>
        <w:t xml:space="preserve">  + w_c * CurrentnessModifier(f,x)</w:t>
      </w:r>
      <w:r>
        <w:br/>
      </w:r>
      <w:r>
        <w:rPr>
          <w:rStyle w:val="VerbatimChar"/>
        </w:rPr>
        <w:t xml:space="preserve">]</w:t>
      </w:r>
    </w:p>
    <w:p>
      <w:pPr>
        <w:pStyle w:val="FirstParagraph"/>
      </w:pPr>
      <w:r>
        <w:rPr>
          <w:rStyle w:val="VerbatimChar"/>
        </w:rPr>
        <w:t xml:space="preserve">V_APO</w:t>
      </w:r>
      <w:r>
        <w:t xml:space="preserve"> </w:t>
      </w:r>
      <w:r>
        <w:t xml:space="preserve">is a veto, not a low weight. Currentness is bounded. The architecture may increase or decrease a candidate’s standing because the world changed, but recency cannot independently manufacture conformation.</w:t>
      </w:r>
    </w:p>
    <w:p>
      <w:pPr>
        <w:pStyle w:val="CaptionedFigure"/>
      </w:pPr>
      <w:r>
        <w:drawing>
          <wp:inline>
            <wp:extent cx="4745990" cy="3559492"/>
            <wp:effectExtent b="0" l="0" r="0" t="0"/>
            <wp:docPr descr="Figure 6. Precedent standing is dominated by terrain conformation. Recency and currentness modulate inside a bounded envelope." title="" id="60" name="Picture"/>
            <a:graphic>
              <a:graphicData uri="http://schemas.openxmlformats.org/drawingml/2006/picture">
                <pic:pic>
                  <pic:nvPicPr>
                    <pic:cNvPr descr="figures/figure06_shape_recency_surface.png" id="61" name="Picture"/>
                    <pic:cNvPicPr>
                      <a:picLocks noChangeArrowheads="1" noChangeAspect="1"/>
                    </pic:cNvPicPr>
                  </pic:nvPicPr>
                  <pic:blipFill>
                    <a:blip r:embed="rId59"/>
                    <a:stretch>
                      <a:fillRect/>
                    </a:stretch>
                  </pic:blipFill>
                  <pic:spPr bwMode="auto">
                    <a:xfrm>
                      <a:off x="0" y="0"/>
                      <a:ext cx="4745990" cy="3559492"/>
                    </a:xfrm>
                    <a:prstGeom prst="rect">
                      <a:avLst/>
                    </a:prstGeom>
                    <a:noFill/>
                    <a:ln w="9525">
                      <a:noFill/>
                      <a:headEnd/>
                      <a:tailEnd/>
                    </a:ln>
                  </pic:spPr>
                </pic:pic>
              </a:graphicData>
            </a:graphic>
          </wp:inline>
        </w:drawing>
      </w:r>
    </w:p>
    <w:p>
      <w:pPr>
        <w:pStyle w:val="ImageCaption"/>
      </w:pPr>
      <w:r>
        <w:t xml:space="preserve">Figure 6. Precedent standing is dominated by terrain conformation. Recency and currentness modulate inside a bounded envelope.</w:t>
      </w:r>
    </w:p>
    <w:p>
      <w:pPr>
        <w:pStyle w:val="BodyText"/>
      </w:pPr>
      <w:r>
        <w:t xml:space="preserve">The native terrain campaign makes this policy executable: an older shape-conforming precedent outranked a recent shape-distant precedent in all 500 generated trials. That is a receipt of the current implementation, not a universal theorem about all memory systems.</w:t>
      </w:r>
      <w:r>
        <w:t xml:space="preserve"> </w:t>
      </w:r>
      <w:hyperlink w:anchor="ref-ForkedCampaign2026">
        <w:r>
          <w:rPr>
            <w:rStyle w:val="Hyperlink"/>
          </w:rPr>
          <w:t xml:space="preserve">[11]</w:t>
        </w:r>
      </w:hyperlink>
    </w:p>
    <w:bookmarkEnd w:id="62"/>
    <w:bookmarkStart w:id="66" w:name="X7cd75e6df95878c00cfe5cdc14936e3f17395fe"/>
    <w:p>
      <w:pPr>
        <w:pStyle w:val="Heading2"/>
      </w:pPr>
      <w:r>
        <w:t xml:space="preserve">18. Recency, currentness, and temporal jurisdiction</w:t>
      </w:r>
    </w:p>
    <w:p>
      <w:pPr>
        <w:pStyle w:val="FirstParagraph"/>
      </w:pPr>
      <w:r>
        <w:t xml:space="preserve">Recency still matters. A physically identical failure may no longer be relevant because the mechanism was replaced, the jurisdiction changed, the authority expired, or the environment moved outside the original envelope. FORKED therefore treats time as one of several typed constraints rather than as a universal decay function.</w:t>
      </w:r>
    </w:p>
    <w:p>
      <w:pPr>
        <w:pStyle w:val="BodyText"/>
      </w:pPr>
      <w:r>
        <w:t xml:space="preserve">Three temporal questions are kept separate:</w:t>
      </w:r>
    </w:p>
    <w:p>
      <w:pPr>
        <w:pStyle w:val="Compact"/>
        <w:numPr>
          <w:ilvl w:val="0"/>
          <w:numId w:val="1009"/>
        </w:numPr>
      </w:pPr>
      <w:r>
        <w:t xml:space="preserve">When did the underlying event occur?</w:t>
      </w:r>
    </w:p>
    <w:p>
      <w:pPr>
        <w:pStyle w:val="Compact"/>
        <w:numPr>
          <w:ilvl w:val="0"/>
          <w:numId w:val="1009"/>
        </w:numPr>
      </w:pPr>
      <w:r>
        <w:t xml:space="preserve">When did the system observe or receive the evidence?</w:t>
      </w:r>
    </w:p>
    <w:p>
      <w:pPr>
        <w:pStyle w:val="Compact"/>
        <w:numPr>
          <w:ilvl w:val="0"/>
          <w:numId w:val="1009"/>
        </w:numPr>
      </w:pPr>
      <w:r>
        <w:t xml:space="preserve">During which interval is the claim valid?</w:t>
      </w:r>
    </w:p>
    <w:p>
      <w:pPr>
        <w:pStyle w:val="FirstParagraph"/>
      </w:pPr>
      <w:r>
        <w:t xml:space="preserve">A recent record can describe an old event. A late observation can correct a state that was already acted upon. A canonical rule may remain valid while the loaded runtime uses older bytes. A memory may be old but still current if the governed mechanism has not changed. The architecture therefore stores source-time, observation-time, receipt-time, valid-time, transaction-time, expiry, and reopen triggers as separate fields where the domain requires them.</w:t>
      </w:r>
    </w:p>
    <w:p>
      <w:pPr>
        <w:pStyle w:val="BodyText"/>
      </w:pPr>
      <w:r>
        <w:t xml:space="preserve">The temporal discipline is adjacent to bitemporal databases and distributed-systems clocks. Lamport showed that event ordering in distributed systems cannot be reduced to one global physical clock, while bitemporal databases distinguish when a fact is valid in the represented world from when it is stored in the database.</w:t>
      </w:r>
      <w:r>
        <w:t xml:space="preserve"> </w:t>
      </w:r>
      <w:hyperlink w:anchor="ref-Lamport1978Time">
        <w:r>
          <w:rPr>
            <w:rStyle w:val="Hyperlink"/>
          </w:rPr>
          <w:t xml:space="preserve">[23]</w:t>
        </w:r>
      </w:hyperlink>
      <w:r>
        <w:t xml:space="preserve">,</w:t>
      </w:r>
      <w:r>
        <w:t xml:space="preserve"> </w:t>
      </w:r>
      <w:hyperlink w:anchor="ref-Mattern1989VirtualTime">
        <w:r>
          <w:rPr>
            <w:rStyle w:val="Hyperlink"/>
          </w:rPr>
          <w:t xml:space="preserve">[24]</w:t>
        </w:r>
      </w:hyperlink>
      <w:r>
        <w:t xml:space="preserve">,</w:t>
      </w:r>
      <w:r>
        <w:t xml:space="preserve"> </w:t>
      </w:r>
      <w:hyperlink w:anchor="ref-Snodgrass1999Temporal">
        <w:r>
          <w:rPr>
            <w:rStyle w:val="Hyperlink"/>
          </w:rPr>
          <w:t xml:space="preserve">[25]</w:t>
        </w:r>
      </w:hyperlink>
      <w:r>
        <w:t xml:space="preserve"> </w:t>
      </w:r>
      <w:r>
        <w:t xml:space="preserve">FORKED adds authority and source-tense: the fact that a record entered the system at transaction time does not establish that the recording actor had standing to crown it.</w:t>
      </w:r>
    </w:p>
    <w:p>
      <w:pPr>
        <w:pStyle w:val="CaptionedFigure"/>
      </w:pPr>
      <w:r>
        <w:drawing>
          <wp:inline>
            <wp:extent cx="5515610" cy="2597378"/>
            <wp:effectExtent b="0" l="0" r="0" t="0"/>
            <wp:docPr descr="Figure 7. Valid time and transaction time remain separate. Corrections can arrive after the world interval they revise." title="" id="64" name="Picture"/>
            <a:graphic>
              <a:graphicData uri="http://schemas.openxmlformats.org/drawingml/2006/picture">
                <pic:pic>
                  <pic:nvPicPr>
                    <pic:cNvPr descr="figures/figure09_bitemporal_source_time.png" id="65" name="Picture"/>
                    <pic:cNvPicPr>
                      <a:picLocks noChangeArrowheads="1" noChangeAspect="1"/>
                    </pic:cNvPicPr>
                  </pic:nvPicPr>
                  <pic:blipFill>
                    <a:blip r:embed="rId63"/>
                    <a:stretch>
                      <a:fillRect/>
                    </a:stretch>
                  </pic:blipFill>
                  <pic:spPr bwMode="auto">
                    <a:xfrm>
                      <a:off x="0" y="0"/>
                      <a:ext cx="5515610" cy="2597378"/>
                    </a:xfrm>
                    <a:prstGeom prst="rect">
                      <a:avLst/>
                    </a:prstGeom>
                    <a:noFill/>
                    <a:ln w="9525">
                      <a:noFill/>
                      <a:headEnd/>
                      <a:tailEnd/>
                    </a:ln>
                  </pic:spPr>
                </pic:pic>
              </a:graphicData>
            </a:graphic>
          </wp:inline>
        </w:drawing>
      </w:r>
    </w:p>
    <w:p>
      <w:pPr>
        <w:pStyle w:val="ImageCaption"/>
      </w:pPr>
      <w:r>
        <w:t xml:space="preserve">Figure 7. Valid time and transaction time remain separate. Corrections can arrive after the world interval they revise.</w:t>
      </w:r>
    </w:p>
    <w:p>
      <w:pPr>
        <w:pStyle w:val="BodyText"/>
      </w:pPr>
      <w:r>
        <w:t xml:space="preserve">Temporal conformation changes mechanics. A stale source may trigger a fuse. A claim near expiry may require refresh. A delayed sensor stream may remain useful for historical reconstruction but lose standing for a current declaration. A correction that arrives after action must traverse the dependent graph rather than merely update the source row.</w:t>
      </w:r>
    </w:p>
    <w:bookmarkEnd w:id="66"/>
    <w:bookmarkStart w:id="67" w:name="trajectory-is-a-first-class-object"/>
    <w:p>
      <w:pPr>
        <w:pStyle w:val="Heading2"/>
      </w:pPr>
      <w:r>
        <w:t xml:space="preserve">19. Trajectory is a first-class object</w:t>
      </w:r>
    </w:p>
    <w:p>
      <w:pPr>
        <w:pStyle w:val="FirstParagraph"/>
      </w:pPr>
      <w:r>
        <w:t xml:space="preserve">Content classifiers inspect a sentence, image, or state. Many dangerous or valuable patterns exist only across motion.</w:t>
      </w:r>
    </w:p>
    <w:p>
      <w:pPr>
        <w:pStyle w:val="BodyText"/>
      </w:pPr>
      <w:r>
        <w:t xml:space="preserve">Hubris is not one confident sentence. It is a sequence in which local success increases scope, scope acquires prestige, prestige suppresses contradiction, contradiction is reclassified as friction, and the system approaches a surface where correction becomes expensive. Trauma-driven non-closure is also a trajectory: a prior false alarm increases caution, caution becomes default suspicion, strong evidence arrives, declaration remains withheld, and delay becomes irreversible.</w:t>
      </w:r>
    </w:p>
    <w:p>
      <w:pPr>
        <w:pStyle w:val="BodyText"/>
      </w:pPr>
      <w:r>
        <w:t xml:space="preserve">FORKED represents a longitudinal state as a quiver, not a scalar trend line. Each observation is a splat with its own receipts and source-tense. Edges express persistence, correction, recurrence, mutation, and phase transition. Working derivatives may summarize movement:</w:t>
      </w:r>
    </w:p>
    <w:p>
      <w:pPr>
        <w:pStyle w:val="SourceCode"/>
      </w:pPr>
      <w:r>
        <w:rPr>
          <w:rStyle w:val="VerbatimChar"/>
        </w:rPr>
        <w:t xml:space="preserve">d1_j(t) = x_j(t) - x_j(t-1)</w:t>
      </w:r>
      <w:r>
        <w:br/>
      </w:r>
      <w:r>
        <w:rPr>
          <w:rStyle w:val="VerbatimChar"/>
        </w:rPr>
        <w:t xml:space="preserve">d2_j(t) = d1_j(t) - d1_j(t-1)</w:t>
      </w:r>
    </w:p>
    <w:p>
      <w:pPr>
        <w:pStyle w:val="FirstParagraph"/>
      </w:pPr>
      <w:r>
        <w:t xml:space="preserve">The first difference indicates direction. The second indicates curvature. Neither is sovereign. A sudden change can be evidence of a real phase transition or a sensor artifact. The trajectory object retains the receipts that would distinguish them.</w:t>
      </w:r>
    </w:p>
    <w:p>
      <w:pPr>
        <w:pStyle w:val="BodyText"/>
      </w:pPr>
      <w:r>
        <w:t xml:space="preserve">Trajectory also supports prospective pressure. A current path can be projected toward a likely irreversible surface without claiming that the future is fixed. The projection changes inspection cost and review cadence. It does not authorize the state it predicts.</w:t>
      </w:r>
    </w:p>
    <w:bookmarkEnd w:id="67"/>
    <w:bookmarkStart w:id="68" w:name="fables-as-compact-trajectory-splats"/>
    <w:p>
      <w:pPr>
        <w:pStyle w:val="Heading2"/>
      </w:pPr>
      <w:r>
        <w:t xml:space="preserve">20. Fables as compact trajectory splats</w:t>
      </w:r>
    </w:p>
    <w:p>
      <w:pPr>
        <w:pStyle w:val="FirstParagraph"/>
      </w:pPr>
      <w:r>
        <w:t xml:space="preserve">A fable compresses a recurring failure or wisdom topology into a portable narrative. Its value is not literary authority. Its value is that it carries roles, sequence, reversal, causal expectation, power geometry, and an end state in a form humans and models can retrieve cheaply.</w:t>
      </w:r>
    </w:p>
    <w:p>
      <w:pPr>
        <w:pStyle w:val="BodyText"/>
      </w:pPr>
      <w:r>
        <w:t xml:space="preserve">The current Aesop field implements ten archetypes with equal caution and wisdom standing. Each carries a one-sentence moral, polarity, authored working centroid and spread over eight structural dimensions, anchors, typed forbidden paths, an envelope family, a point-of-no-return axis and threshold, elevation and gravity parameters, lexical tripwires, anti-keywords, exclusions, a receipt, and center-exclusion statement.</w:t>
      </w:r>
      <w:r>
        <w:t xml:space="preserve"> </w:t>
      </w:r>
      <w:hyperlink w:anchor="ref-AesopField2026">
        <w:r>
          <w:rPr>
            <w:rStyle w:val="Hyperlink"/>
          </w:rPr>
          <w:t xml:space="preserve">[21]</w:t>
        </w:r>
      </w:hyperlink>
    </w:p>
    <w:p>
      <w:pPr>
        <w:pStyle w:val="BodyText"/>
      </w:pPr>
      <w:r>
        <w:t xml:space="preserve">The output is a mixture, never an argmax. Weak entries remain present. APO-vetoed candidates are typed as removed from the lane by design, not disproven everywhere. Wisdom may speak while caution remains enforced but silent.</w:t>
      </w:r>
    </w:p>
    <w:p>
      <w:pPr>
        <w:pStyle w:val="BodyText"/>
      </w:pPr>
      <w:r>
        <w:t xml:space="preserve">A fable match therefore means:</w:t>
      </w:r>
    </w:p>
    <w:p>
      <w:pPr>
        <w:pStyle w:val="SourceCode"/>
      </w:pPr>
      <w:r>
        <w:rPr>
          <w:rStyle w:val="VerbatimChar"/>
        </w:rPr>
        <w:t xml:space="preserve">The current field resembles this trajectory under these dimensions.</w:t>
      </w:r>
      <w:r>
        <w:br/>
      </w:r>
      <w:r>
        <w:rPr>
          <w:rStyle w:val="VerbatimChar"/>
        </w:rPr>
        <w:t xml:space="preserve">These anchors and forbidden paths are relevant.</w:t>
      </w:r>
      <w:r>
        <w:br/>
      </w:r>
      <w:r>
        <w:rPr>
          <w:rStyle w:val="VerbatimChar"/>
        </w:rPr>
        <w:t xml:space="preserve">This is the remaining distance to the authored PONR surface.</w:t>
      </w:r>
      <w:r>
        <w:br/>
      </w:r>
      <w:r>
        <w:rPr>
          <w:rStyle w:val="VerbatimChar"/>
        </w:rPr>
        <w:t xml:space="preserve">These observations weaken the match.</w:t>
      </w:r>
      <w:r>
        <w:br/>
      </w:r>
      <w:r>
        <w:rPr>
          <w:rStyle w:val="VerbatimChar"/>
        </w:rPr>
        <w:t xml:space="preserve">This prior is pressure for inspection, not evidence of guilt or proof of outcome.</w:t>
      </w:r>
    </w:p>
    <w:p>
      <w:pPr>
        <w:pStyle w:val="FirstParagraph"/>
      </w:pPr>
      <w:r>
        <w:t xml:space="preserve">The architecture adds an adverse lane to every fable. Icarus can reveal unbounded ascent but can be abused to condemn legitimate ambition. The Boy Who Cried Wolf can reveal trust depletion but can suppress a real warning. The Tortoise and the Hare can protect cadence but can sanctify delay near an expiring opportunity. The Oak and the Reeds can protect flexibility but can rationalize surrender of a hard invariant.</w:t>
      </w:r>
    </w:p>
    <w:p>
      <w:pPr>
        <w:pStyle w:val="BodyText"/>
      </w:pPr>
      <w:r>
        <w:t xml:space="preserve">The fable object must therefore carry both the failure topology and the counterfailure topology. Caution can invert into trauma-driven suspension. Wisdom can invert into unbounded confidence, complacency, or strategic drift.</w:t>
      </w:r>
    </w:p>
    <w:bookmarkEnd w:id="68"/>
    <w:bookmarkStart w:id="72" w:name="point-of-no-return-mechanics"/>
    <w:p>
      <w:pPr>
        <w:pStyle w:val="Heading2"/>
      </w:pPr>
      <w:r>
        <w:t xml:space="preserve">21. Point-of-no-return mechanics</w:t>
      </w:r>
    </w:p>
    <w:p>
      <w:pPr>
        <w:pStyle w:val="FirstParagraph"/>
      </w:pPr>
      <w:r>
        <w:t xml:space="preserve">A point of no return is not always a physical cliff. It is a surface after which correction is no longer credible inside the relevant horizon and budget.</w:t>
      </w:r>
    </w:p>
    <w:p>
      <w:pPr>
        <w:pStyle w:val="BodyText"/>
      </w:pPr>
      <w:r>
        <w:t xml:space="preserve">Examples include an irreversible production mutation, public disclosure that cannot be recalled, depleted reserve floor, poisoned cache state that has propagated into human decisions, a mission window that closes during verification, an unrecoverable bond, or a constitutional precedent that changes who has authority to decide.</w:t>
      </w:r>
    </w:p>
    <w:p>
      <w:pPr>
        <w:pStyle w:val="BodyText"/>
      </w:pPr>
      <w:r>
        <w:t xml:space="preserve">The current fable component computes per-archetype distance to an authored threshold on a structural axis and uses trajectory sign to determine whether the distance is closing. FORKED generalizes this into a multi-dimensional PONR surface with horizon, authority, correction cost, alternative cost, evidence quality, and uncertainty.</w:t>
      </w:r>
    </w:p>
    <w:p>
      <w:pPr>
        <w:pStyle w:val="CaptionedFigure"/>
      </w:pPr>
      <w:r>
        <w:drawing>
          <wp:inline>
            <wp:extent cx="5002530" cy="2779183"/>
            <wp:effectExtent b="0" l="0" r="0" t="0"/>
            <wp:docPr descr="Figure 8. A fable trajectory reweights traversal as it approaches an authored PONR surface. Crossing is not proof; it changes the responsibility load." title="" id="70" name="Picture"/>
            <a:graphic>
              <a:graphicData uri="http://schemas.openxmlformats.org/drawingml/2006/picture">
                <pic:pic>
                  <pic:nvPicPr>
                    <pic:cNvPr descr="figures/figure07_fable_trajectory.png" id="71" name="Picture"/>
                    <pic:cNvPicPr>
                      <a:picLocks noChangeArrowheads="1" noChangeAspect="1"/>
                    </pic:cNvPicPr>
                  </pic:nvPicPr>
                  <pic:blipFill>
                    <a:blip r:embed="rId69"/>
                    <a:stretch>
                      <a:fillRect/>
                    </a:stretch>
                  </pic:blipFill>
                  <pic:spPr bwMode="auto">
                    <a:xfrm>
                      <a:off x="0" y="0"/>
                      <a:ext cx="5002530" cy="2779183"/>
                    </a:xfrm>
                    <a:prstGeom prst="rect">
                      <a:avLst/>
                    </a:prstGeom>
                    <a:noFill/>
                    <a:ln w="9525">
                      <a:noFill/>
                      <a:headEnd/>
                      <a:tailEnd/>
                    </a:ln>
                  </pic:spPr>
                </pic:pic>
              </a:graphicData>
            </a:graphic>
          </wp:inline>
        </w:drawing>
      </w:r>
    </w:p>
    <w:p>
      <w:pPr>
        <w:pStyle w:val="ImageCaption"/>
      </w:pPr>
      <w:r>
        <w:t xml:space="preserve">Figure 8. A fable trajectory reweights traversal as it approaches an authored PONR surface. Crossing is not proof; it changes the responsibility load.</w:t>
      </w:r>
    </w:p>
    <w:p>
      <w:pPr>
        <w:pStyle w:val="BodyText"/>
      </w:pPr>
      <w:r>
        <w:t xml:space="preserve">The action clamp strengthens as the action PONR approaches. The delay clamp strengthens as the delay PONR approaches. The system does not assume one is always primary.</w:t>
      </w:r>
    </w:p>
    <w:bookmarkEnd w:id="72"/>
    <w:bookmarkStart w:id="73" w:name="blast-radius-and-proximity"/>
    <w:p>
      <w:pPr>
        <w:pStyle w:val="Heading2"/>
      </w:pPr>
      <w:r>
        <w:t xml:space="preserve">22. Blast radius and proximity</w:t>
      </w:r>
    </w:p>
    <w:p>
      <w:pPr>
        <w:pStyle w:val="FirstParagraph"/>
      </w:pPr>
      <w:r>
        <w:t xml:space="preserve">Blast radius is the set of states, actors, resources, and horizons that can inherit a transition. It is computed over both declared and suspected dependencies:</w:t>
      </w:r>
    </w:p>
    <w:p>
      <w:pPr>
        <w:pStyle w:val="SourceCode"/>
      </w:pPr>
      <w:r>
        <w:rPr>
          <w:rStyle w:val="VerbatimChar"/>
        </w:rPr>
        <w:t xml:space="preserve">BlastRadius(x) = ReachableDependents(x)</w:t>
      </w:r>
      <w:r>
        <w:br/>
      </w:r>
      <w:r>
        <w:rPr>
          <w:rStyle w:val="VerbatimChar"/>
        </w:rPr>
        <w:t xml:space="preserve">               + HiddenEdgeEstimate(x)</w:t>
      </w:r>
      <w:r>
        <w:br/>
      </w:r>
      <w:r>
        <w:rPr>
          <w:rStyle w:val="VerbatimChar"/>
        </w:rPr>
        <w:t xml:space="preserve">               + HumanMemoryExposure(x)</w:t>
      </w:r>
      <w:r>
        <w:br/>
      </w:r>
      <w:r>
        <w:rPr>
          <w:rStyle w:val="VerbatimChar"/>
        </w:rPr>
        <w:t xml:space="preserve">               + ExternalityHorizons(x)</w:t>
      </w:r>
    </w:p>
    <w:p>
      <w:pPr>
        <w:pStyle w:val="FirstParagraph"/>
      </w:pPr>
      <w:r>
        <w:t xml:space="preserve">The first term comes from known DAG edges. The second comes from terrain inversion and correction residue. The third recognizes that people can carry a claim after the system deletes it. The fourth captures higher-horizon costs that a local graph may not own.</w:t>
      </w:r>
    </w:p>
    <w:p>
      <w:pPr>
        <w:pStyle w:val="BodyText"/>
      </w:pPr>
      <w:r>
        <w:t xml:space="preserve">Proximity to a PONR and blast radius interact. A small local action near an irreversible institutional precedent can deserve more friction than a larger reversible simulation. A high-confidence low-blast-radius result can proceed under a bounded envelope. A medium-confidence state with large hidden propagation may require a harder clamp.</w:t>
      </w:r>
    </w:p>
    <w:bookmarkEnd w:id="73"/>
    <w:bookmarkStart w:id="74" w:name="Xa22d9145eab64bf4cd05f9f9bc681e979fd0e7b"/>
    <w:p>
      <w:pPr>
        <w:pStyle w:val="Heading2"/>
      </w:pPr>
      <w:r>
        <w:t xml:space="preserve">23. Natural language as projection, not source</w:t>
      </w:r>
    </w:p>
    <w:p>
      <w:pPr>
        <w:pStyle w:val="FirstParagraph"/>
      </w:pPr>
      <w:r>
        <w:t xml:space="preserve">Natural language is an unusually powerful exchange layer. It can carry counterfactuals, exceptions, source-tense, role geometry, uncertainty, and lived stakes across heterogeneous humans and models. It can also create the appearance of fidelity while deleting a negative boundary or changing authority.</w:t>
      </w:r>
    </w:p>
    <w:p>
      <w:pPr>
        <w:pStyle w:val="BodyText"/>
      </w:pPr>
      <w:r>
        <w:t xml:space="preserve">FORKED therefore reduces from the lattice into prose without discarding the lattice in between:</w:t>
      </w:r>
    </w:p>
    <w:p>
      <w:pPr>
        <w:pStyle w:val="SourceCode"/>
      </w:pPr>
      <w:r>
        <w:rPr>
          <w:rStyle w:val="VerbatimChar"/>
        </w:rPr>
        <w:t xml:space="preserve">latent and observed field</w:t>
      </w:r>
      <w:r>
        <w:br/>
      </w:r>
      <w:r>
        <w:rPr>
          <w:rStyle w:val="VerbatimChar"/>
        </w:rPr>
        <w:t xml:space="preserve">  -&gt; splat lattice intermediate representation</w:t>
      </w:r>
      <w:r>
        <w:br/>
      </w:r>
      <w:r>
        <w:rPr>
          <w:rStyle w:val="VerbatimChar"/>
        </w:rPr>
        <w:t xml:space="preserve">  -&gt; bounded natural-language projection</w:t>
      </w:r>
    </w:p>
    <w:p>
      <w:pPr>
        <w:pStyle w:val="FirstParagraph"/>
      </w:pPr>
      <w:r>
        <w:t xml:space="preserve">Every projection carries a lattice digest, source-tense, authority ceiling, branch states, center-exclusion statement, correction triggers, horizon, receipts, and confidence class. Rehydrating prose does not mean copying the sentence back into state. It means reconstructing a candidate splat and conforming it against receipts, current runtime, authority, and the original digest.</w:t>
      </w:r>
    </w:p>
    <w:p>
      <w:pPr>
        <w:pStyle w:val="BodyText"/>
      </w:pPr>
      <w:r>
        <w:t xml:space="preserve">This is the load-bearing answer to reducing from latent to natural language while holding the lattice between them. The lattice is the contract that prevents the language surface from becoming the object.</w:t>
      </w:r>
    </w:p>
    <w:bookmarkEnd w:id="74"/>
    <w:bookmarkStart w:id="75" w:name="Xd1961a3653aa606890bec7f938e348700985e13"/>
    <w:p>
      <w:pPr>
        <w:pStyle w:val="Heading2"/>
      </w:pPr>
      <w:r>
        <w:t xml:space="preserve">24. Training the cables rather than the slogan</w:t>
      </w:r>
    </w:p>
    <w:p>
      <w:pPr>
        <w:pStyle w:val="FirstParagraph"/>
      </w:pPr>
      <w:r>
        <w:t xml:space="preserve">A terrain learner should not learn that a phrase is good. It should learn which path conditions, exclusions, authority patterns, and correction responses recur when the system behaves well or fails.</w:t>
      </w:r>
    </w:p>
    <w:p>
      <w:pPr>
        <w:pStyle w:val="BodyText"/>
      </w:pPr>
      <w:r>
        <w:t xml:space="preserve">The current terrain doctrine establishes two implementation principles at different evidence levels. First, receipt-mediated visibility is a runtime design rule: if behavior does not enter the behavioral receipt corpus, the learner cannot claim it observed the behavior. Second, concentration as anti-cheat is a bounded observation from one trainer pass: touched patterns moved three to four times more than an untouched control while the false-flattery guard passed. Promotion was correctly withheld at</w:t>
      </w:r>
      <w:r>
        <w:t xml:space="preserve"> </w:t>
      </w:r>
      <w:r>
        <w:rPr>
          <w:rStyle w:val="VerbatimChar"/>
        </w:rPr>
        <w:t xml:space="preserve">n=1</w:t>
      </w:r>
      <w:r>
        <w:t xml:space="preserve">.</w:t>
      </w:r>
      <w:r>
        <w:t xml:space="preserve"> </w:t>
      </w:r>
      <w:hyperlink w:anchor="ref-TerrainDoctrine2026">
        <w:r>
          <w:rPr>
            <w:rStyle w:val="Hyperlink"/>
          </w:rPr>
          <w:t xml:space="preserve">[22]</w:t>
        </w:r>
      </w:hyperlink>
    </w:p>
    <w:p>
      <w:pPr>
        <w:pStyle w:val="BodyText"/>
      </w:pPr>
      <w:r>
        <w:t xml:space="preserve">The broader training objective is cable preservation:</w:t>
      </w:r>
    </w:p>
    <w:p>
      <w:pPr>
        <w:pStyle w:val="SourceCode"/>
      </w:pPr>
      <w:r>
        <w:rPr>
          <w:rStyle w:val="VerbatimChar"/>
        </w:rPr>
        <w:t xml:space="preserve">same surface + different terrain      -&gt; distinguish</w:t>
      </w:r>
      <w:r>
        <w:br/>
      </w:r>
      <w:r>
        <w:rPr>
          <w:rStyle w:val="VerbatimChar"/>
        </w:rPr>
        <w:t xml:space="preserve">different surface + same terrain      -&gt; rehydrate</w:t>
      </w:r>
      <w:r>
        <w:br/>
      </w:r>
      <w:r>
        <w:rPr>
          <w:rStyle w:val="VerbatimChar"/>
        </w:rPr>
        <w:t xml:space="preserve">same evidence + different authority   -&gt; route differently</w:t>
      </w:r>
      <w:r>
        <w:br/>
      </w:r>
      <w:r>
        <w:rPr>
          <w:rStyle w:val="VerbatimChar"/>
        </w:rPr>
        <w:t xml:space="preserve">same facts + different horizon        -&gt; preserve externalities</w:t>
      </w:r>
      <w:r>
        <w:br/>
      </w:r>
      <w:r>
        <w:rPr>
          <w:rStyle w:val="VerbatimChar"/>
        </w:rPr>
        <w:t xml:space="preserve">same fable + wrong topology           -&gt; deactivate</w:t>
      </w:r>
      <w:r>
        <w:br/>
      </w:r>
      <w:r>
        <w:rPr>
          <w:rStyle w:val="VerbatimChar"/>
        </w:rPr>
        <w:t xml:space="preserve">high confidence + missing receipt     -&gt; do not promote</w:t>
      </w:r>
      <w:r>
        <w:br/>
      </w:r>
      <w:r>
        <w:rPr>
          <w:rStyle w:val="VerbatimChar"/>
        </w:rPr>
        <w:t xml:space="preserve">low rhetoric + complete hard receipt  -&gt; do not block for lack of fluency</w:t>
      </w:r>
    </w:p>
    <w:p>
      <w:pPr>
        <w:pStyle w:val="FirstParagraph"/>
      </w:pPr>
      <w:r>
        <w:t xml:space="preserve">Training may adjust working affinity, retrieval prominence, inspection cost, or model routing. It may not learn the held-open center, grant itself authority, or promote doctrine from a single favorable pass.</w:t>
      </w:r>
    </w:p>
    <w:bookmarkEnd w:id="75"/>
    <w:bookmarkStart w:id="76" w:name="fables-remain-non-citable-pressure"/>
    <w:p>
      <w:pPr>
        <w:pStyle w:val="Heading2"/>
      </w:pPr>
      <w:r>
        <w:t xml:space="preserve">25. Fables remain non-citable pressure</w:t>
      </w:r>
    </w:p>
    <w:p>
      <w:pPr>
        <w:pStyle w:val="FirstParagraph"/>
      </w:pPr>
      <w:r>
        <w:t xml:space="preserve">The current Aesop component explicitly marks its output as non-citable pressure. A fable can tell the system where to look. It cannot serve as evidence that the current actor is hubristic, deceitful, parasitic, or wise.</w:t>
      </w:r>
    </w:p>
    <w:p>
      <w:pPr>
        <w:pStyle w:val="BodyText"/>
      </w:pPr>
      <w:r>
        <w:t xml:space="preserve">This preserves the moral payload without converting culture into accusation. It also makes the research falsifiable. A fable condition must be compared against matched plain-language constraints, neutral metaphors, misleading metaphors, unfamiliar cultural frames, and no-frame controls. Outcomes must include insight, overcaution, false pattern matching, source inspection, closure timing, correction, and cultural accessibility.</w:t>
      </w:r>
    </w:p>
    <w:p>
      <w:pPr>
        <w:pStyle w:val="BodyText"/>
      </w:pPr>
      <w:r>
        <w:t xml:space="preserve">The first synthetic experiment already shows why the adverse lane is mandatory: encoded fable frames shifted observer and authority accounting, but a misleading metaphor increased overcaution. The correct conclusion is not that narrative terrain is beneficial or harmful in general. It is that narrative terrain is a load-bearing intervention whose sign depends on conformation, familiarity, pressure, and counterfailure controls.</w:t>
      </w:r>
      <w:r>
        <w:t xml:space="preserve"> </w:t>
      </w:r>
      <w:hyperlink w:anchor="ref-ForkedExperiments2026">
        <w:r>
          <w:rPr>
            <w:rStyle w:val="Hyperlink"/>
          </w:rPr>
          <w:t xml:space="preserve">[10]</w:t>
        </w:r>
      </w:hyperlink>
      <w:r>
        <w:t xml:space="preserve"> </w:t>
      </w:r>
      <w:r>
        <w:t xml:space="preserve"># Part IV - Observer-indexed reality, agency, and correction</w:t>
      </w:r>
    </w:p>
    <w:bookmarkEnd w:id="76"/>
    <w:bookmarkStart w:id="80" w:name="one-world-multiple-reachable-states"/>
    <w:p>
      <w:pPr>
        <w:pStyle w:val="Heading2"/>
      </w:pPr>
      <w:r>
        <w:t xml:space="preserve">26. One world, multiple reachable states</w:t>
      </w:r>
    </w:p>
    <w:p>
      <w:pPr>
        <w:pStyle w:val="FirstParagraph"/>
      </w:pPr>
      <w:r>
        <w:t xml:space="preserve">Observer-indexed reality begins from a physical and institutional constraint: no observer receives the whole state directly. A body occupies a location. A sensor has an envelope. A model has an input schema. A database has an update path. An operator sees an interface. An institution sees reports assembled under authority and time constraints.</w:t>
      </w:r>
    </w:p>
    <w:p>
      <w:pPr>
        <w:pStyle w:val="BodyText"/>
      </w:pPr>
      <w:r>
        <w:t xml:space="preserve">Let the underlying field be</w:t>
      </w:r>
      <w:r>
        <w:t xml:space="preserve"> </w:t>
      </w:r>
      <w:r>
        <w:rPr>
          <w:rStyle w:val="VerbatimChar"/>
        </w:rPr>
        <w:t xml:space="preserve">X(t)</w:t>
      </w:r>
      <w:r>
        <w:t xml:space="preserve"> </w:t>
      </w:r>
      <w:r>
        <w:t xml:space="preserve">and observer</w:t>
      </w:r>
      <w:r>
        <w:t xml:space="preserve"> </w:t>
      </w:r>
      <w:r>
        <w:rPr>
          <w:rStyle w:val="VerbatimChar"/>
        </w:rPr>
        <w:t xml:space="preserve">o</w:t>
      </w:r>
      <w:r>
        <w:t xml:space="preserve"> </w:t>
      </w:r>
      <w:r>
        <w:t xml:space="preserve">have transfer function</w:t>
      </w:r>
      <w:r>
        <w:t xml:space="preserve"> </w:t>
      </w:r>
      <w:r>
        <w:rPr>
          <w:rStyle w:val="VerbatimChar"/>
        </w:rPr>
        <w:t xml:space="preserve">H_o</w:t>
      </w:r>
      <w:r>
        <w:t xml:space="preserve">:</w:t>
      </w:r>
    </w:p>
    <w:p>
      <w:pPr>
        <w:pStyle w:val="SourceCode"/>
      </w:pPr>
      <w:r>
        <w:rPr>
          <w:rStyle w:val="VerbatimChar"/>
        </w:rPr>
        <w:t xml:space="preserve">Y_o(t) = H_o(X(t), position_o, sensor_o, latency_o,</w:t>
      </w:r>
      <w:r>
        <w:br/>
      </w:r>
      <w:r>
        <w:rPr>
          <w:rStyle w:val="VerbatimChar"/>
        </w:rPr>
        <w:t xml:space="preserve">             bandwidth_o, model_o, interface_o,</w:t>
      </w:r>
      <w:r>
        <w:br/>
      </w:r>
      <w:r>
        <w:rPr>
          <w:rStyle w:val="VerbatimChar"/>
        </w:rPr>
        <w:t xml:space="preserve">             prior_o, authority_o, history_o)</w:t>
      </w:r>
    </w:p>
    <w:p>
      <w:pPr>
        <w:pStyle w:val="FirstParagraph"/>
      </w:pPr>
      <w:r>
        <w:rPr>
          <w:rStyle w:val="VerbatimChar"/>
        </w:rPr>
        <w:t xml:space="preserve">Y_o</w:t>
      </w:r>
      <w:r>
        <w:t xml:space="preserve"> </w:t>
      </w:r>
      <w:r>
        <w:t xml:space="preserve">is the observer-reachable state. It may be accurate within the observer’s envelope. It is not automatically the protected conformation state.</w:t>
      </w:r>
    </w:p>
    <w:p>
      <w:pPr>
        <w:pStyle w:val="CaptionedFigure"/>
      </w:pPr>
      <w:r>
        <w:drawing>
          <wp:inline>
            <wp:extent cx="6156960" cy="750394"/>
            <wp:effectExtent b="0" l="0" r="0" t="0"/>
            <wp:docPr descr="Figure 9. Physical state becomes emittance, sensed evidence, rendering, inference, human belief, declaration, action, and record. The protected ledger is a separate receipt-gated lane." title="" id="78" name="Picture"/>
            <a:graphic>
              <a:graphicData uri="http://schemas.openxmlformats.org/drawingml/2006/picture">
                <pic:pic>
                  <pic:nvPicPr>
                    <pic:cNvPr descr="figures/figure08_observer_indexed_state.png" id="79" name="Picture"/>
                    <pic:cNvPicPr>
                      <a:picLocks noChangeArrowheads="1" noChangeAspect="1"/>
                    </pic:cNvPicPr>
                  </pic:nvPicPr>
                  <pic:blipFill>
                    <a:blip r:embed="rId77"/>
                    <a:stretch>
                      <a:fillRect/>
                    </a:stretch>
                  </pic:blipFill>
                  <pic:spPr bwMode="auto">
                    <a:xfrm>
                      <a:off x="0" y="0"/>
                      <a:ext cx="6156960" cy="750394"/>
                    </a:xfrm>
                    <a:prstGeom prst="rect">
                      <a:avLst/>
                    </a:prstGeom>
                    <a:noFill/>
                    <a:ln w="9525">
                      <a:noFill/>
                      <a:headEnd/>
                      <a:tailEnd/>
                    </a:ln>
                  </pic:spPr>
                </pic:pic>
              </a:graphicData>
            </a:graphic>
          </wp:inline>
        </w:drawing>
      </w:r>
    </w:p>
    <w:p>
      <w:pPr>
        <w:pStyle w:val="ImageCaption"/>
      </w:pPr>
      <w:r>
        <w:t xml:space="preserve">Figure 9. Physical state becomes emittance, sensed evidence, rendering, inference, human belief, declaration, action, and record. The protected ledger is a separate receipt-gated lane.</w:t>
      </w:r>
    </w:p>
    <w:p>
      <w:pPr>
        <w:pStyle w:val="BodyText"/>
      </w:pPr>
      <w:r>
        <w:t xml:space="preserve">FORKED stores the transforms rather than pretending they are transparent. Each observer claim carries source-tense, modality, location, time, model and interface identity, confidence class, and authority ceiling. Different observers can hold incompatible claims without the architecture immediately averaging them into one number.</w:t>
      </w:r>
    </w:p>
    <w:p>
      <w:pPr>
        <w:pStyle w:val="BodyText"/>
      </w:pPr>
      <w:r>
        <w:t xml:space="preserve">This is especially important when interfaces become the experiential world. A remote operator, analyst, clinician, trader, or engineer may interact with a map, augmented-reality overlay, confidence badge, model explanation, or digital twin more directly than with the underlying object. The interface therefore does not merely display reality. It participates in the causal chain by changing salience, urgency, confidence, and reachable action.</w:t>
      </w:r>
    </w:p>
    <w:bookmarkEnd w:id="80"/>
    <w:bookmarkStart w:id="81" w:name="targetstate-and-statetransition"/>
    <w:p>
      <w:pPr>
        <w:pStyle w:val="Heading2"/>
      </w:pPr>
      <w:r>
        <w:t xml:space="preserve">27. TargetState and StateTransition</w:t>
      </w:r>
    </w:p>
    <w:p>
      <w:pPr>
        <w:pStyle w:val="FirstParagraph"/>
      </w:pPr>
      <w:r>
        <w:t xml:space="preserve">The term target is used here in the general systems sense: any object whose state a system is observing or attempting to update. A target may be a machine, service, claim, account, biome node, economic lane, mission objective, or physical object.</w:t>
      </w:r>
    </w:p>
    <w:p>
      <w:pPr>
        <w:pStyle w:val="BodyText"/>
      </w:pPr>
      <w:r>
        <w:t xml:space="preserve">A binary</w:t>
      </w:r>
      <w:r>
        <w:t xml:space="preserve"> </w:t>
      </w:r>
      <w:r>
        <w:rPr>
          <w:rStyle w:val="VerbatimChar"/>
        </w:rPr>
        <w:t xml:space="preserve">active/terminal</w:t>
      </w:r>
      <w:r>
        <w:t xml:space="preserve"> </w:t>
      </w:r>
      <w:r>
        <w:t xml:space="preserve">or</w:t>
      </w:r>
      <w:r>
        <w:t xml:space="preserve"> </w:t>
      </w:r>
      <w:r>
        <w:rPr>
          <w:rStyle w:val="VerbatimChar"/>
        </w:rPr>
        <w:t xml:space="preserve">healthy/failed</w:t>
      </w:r>
      <w:r>
        <w:t xml:space="preserve"> </w:t>
      </w:r>
      <w:r>
        <w:t xml:space="preserve">field is insufficient. FORKED separates:</w:t>
      </w:r>
    </w:p>
    <w:p>
      <w:pPr>
        <w:pStyle w:val="SourceCode"/>
      </w:pPr>
      <w:r>
        <w:rPr>
          <w:rStyle w:val="VerbatimChar"/>
        </w:rPr>
        <w:t xml:space="preserve">TargetState = {</w:t>
      </w:r>
      <w:r>
        <w:br/>
      </w:r>
      <w:r>
        <w:rPr>
          <w:rStyle w:val="VerbatimChar"/>
        </w:rPr>
        <w:t xml:space="preserve">  physical_state,</w:t>
      </w:r>
      <w:r>
        <w:br/>
      </w:r>
      <w:r>
        <w:rPr>
          <w:rStyle w:val="VerbatimChar"/>
        </w:rPr>
        <w:t xml:space="preserve">  functional_state,</w:t>
      </w:r>
      <w:r>
        <w:br/>
      </w:r>
      <w:r>
        <w:rPr>
          <w:rStyle w:val="VerbatimChar"/>
        </w:rPr>
        <w:t xml:space="preserve">  mission_state,</w:t>
      </w:r>
      <w:r>
        <w:br/>
      </w:r>
      <w:r>
        <w:rPr>
          <w:rStyle w:val="VerbatimChar"/>
        </w:rPr>
        <w:t xml:space="preserve">  environmental_state,</w:t>
      </w:r>
      <w:r>
        <w:br/>
      </w:r>
      <w:r>
        <w:rPr>
          <w:rStyle w:val="VerbatimChar"/>
        </w:rPr>
        <w:t xml:space="preserve">  observed_state_by_observer,</w:t>
      </w:r>
      <w:r>
        <w:br/>
      </w:r>
      <w:r>
        <w:rPr>
          <w:rStyle w:val="VerbatimChar"/>
        </w:rPr>
        <w:t xml:space="preserve">  rendered_state_by_interface,</w:t>
      </w:r>
      <w:r>
        <w:br/>
      </w:r>
      <w:r>
        <w:rPr>
          <w:rStyle w:val="VerbatimChar"/>
        </w:rPr>
        <w:t xml:space="preserve">  inferred_state_by_model_or_human,</w:t>
      </w:r>
      <w:r>
        <w:br/>
      </w:r>
      <w:r>
        <w:rPr>
          <w:rStyle w:val="VerbatimChar"/>
        </w:rPr>
        <w:t xml:space="preserve">  declared_state_by_authority,</w:t>
      </w:r>
      <w:r>
        <w:br/>
      </w:r>
      <w:r>
        <w:rPr>
          <w:rStyle w:val="VerbatimChar"/>
        </w:rPr>
        <w:t xml:space="preserve">  verified_state,</w:t>
      </w:r>
      <w:r>
        <w:br/>
      </w:r>
      <w:r>
        <w:rPr>
          <w:rStyle w:val="VerbatimChar"/>
        </w:rPr>
        <w:t xml:space="preserve">  remembered_state,</w:t>
      </w:r>
      <w:r>
        <w:br/>
      </w:r>
      <w:r>
        <w:rPr>
          <w:rStyle w:val="VerbatimChar"/>
        </w:rPr>
        <w:t xml:space="preserve">  confidence_by_lane,</w:t>
      </w:r>
      <w:r>
        <w:br/>
      </w:r>
      <w:r>
        <w:rPr>
          <w:rStyle w:val="VerbatimChar"/>
        </w:rPr>
        <w:t xml:space="preserve">  evidence_receipts,</w:t>
      </w:r>
      <w:r>
        <w:br/>
      </w:r>
      <w:r>
        <w:rPr>
          <w:rStyle w:val="VerbatimChar"/>
        </w:rPr>
        <w:t xml:space="preserve">  valid_time,</w:t>
      </w:r>
      <w:r>
        <w:br/>
      </w:r>
      <w:r>
        <w:rPr>
          <w:rStyle w:val="VerbatimChar"/>
        </w:rPr>
        <w:t xml:space="preserve">  transaction_time,</w:t>
      </w:r>
      <w:r>
        <w:br/>
      </w:r>
      <w:r>
        <w:rPr>
          <w:rStyle w:val="VerbatimChar"/>
        </w:rPr>
        <w:t xml:space="preserve">  correction_dependencies</w:t>
      </w:r>
      <w:r>
        <w:br/>
      </w:r>
      <w:r>
        <w:rPr>
          <w:rStyle w:val="VerbatimChar"/>
        </w:rPr>
        <w:t xml:space="preserve">}</w:t>
      </w:r>
    </w:p>
    <w:p>
      <w:pPr>
        <w:pStyle w:val="FirstParagraph"/>
      </w:pPr>
      <w:r>
        <w:t xml:space="preserve">The separation supports lawful statements such as physically intact but functionally degraded; functionally available but not mission-authorized; absent from one sensor while present in another; declared terminal but not independently verified; verified at</w:t>
      </w:r>
      <w:r>
        <w:t xml:space="preserve"> </w:t>
      </w:r>
      <w:r>
        <w:rPr>
          <w:rStyle w:val="VerbatimChar"/>
        </w:rPr>
        <w:t xml:space="preserve">t0</w:t>
      </w:r>
      <w:r>
        <w:t xml:space="preserve"> </w:t>
      </w:r>
      <w:r>
        <w:t xml:space="preserve">but stale at</w:t>
      </w:r>
      <w:r>
        <w:t xml:space="preserve"> </w:t>
      </w:r>
      <w:r>
        <w:rPr>
          <w:rStyle w:val="VerbatimChar"/>
        </w:rPr>
        <w:t xml:space="preserve">t1</w:t>
      </w:r>
      <w:r>
        <w:t xml:space="preserve">; projected into one observer’s interface but excluded from the protected ledger; or removed from a mission lane while remaining active in an institutional or historical lane.</w:t>
      </w:r>
    </w:p>
    <w:p>
      <w:pPr>
        <w:pStyle w:val="BodyText"/>
      </w:pPr>
      <w:r>
        <w:t xml:space="preserve">A transition carries source state, proposed state, observer basis, authority, evidence, unresolved branches, responsibility, horizon, action and delay PONR, correction path, and downstream dependents. This prevents a visually persuasive event from silently changing physical truth. It also prevents the opposite failure: refusing to declare a transition long after the required physical, functional, authority, and correction conditions are satisfied.</w:t>
      </w:r>
    </w:p>
    <w:bookmarkEnd w:id="81"/>
    <w:bookmarkStart w:id="82" w:name="sightstate-and-wasinsight"/>
    <w:p>
      <w:pPr>
        <w:pStyle w:val="Heading2"/>
      </w:pPr>
      <w:r>
        <w:t xml:space="preserve">28. SightState and WasInSight</w:t>
      </w:r>
    </w:p>
    <w:p>
      <w:pPr>
        <w:pStyle w:val="FirstParagraph"/>
      </w:pPr>
      <w:r>
        <w:t xml:space="preserve">Visibility is not one bit. FORKED decomposes sight into stages:</w:t>
      </w:r>
    </w:p>
    <w:p>
      <w:pPr>
        <w:pStyle w:val="SourceCode"/>
      </w:pPr>
      <w:r>
        <w:rPr>
          <w:rStyle w:val="VerbatimChar"/>
        </w:rPr>
        <w:t xml:space="preserve">geometrically_visible</w:t>
      </w:r>
      <w:r>
        <w:br/>
      </w:r>
      <w:r>
        <w:rPr>
          <w:rStyle w:val="VerbatimChar"/>
        </w:rPr>
        <w:t xml:space="preserve">physically_unoccluded</w:t>
      </w:r>
      <w:r>
        <w:br/>
      </w:r>
      <w:r>
        <w:rPr>
          <w:rStyle w:val="VerbatimChar"/>
        </w:rPr>
        <w:t xml:space="preserve">inside_sensor_envelope</w:t>
      </w:r>
      <w:r>
        <w:br/>
      </w:r>
      <w:r>
        <w:rPr>
          <w:rStyle w:val="VerbatimChar"/>
        </w:rPr>
        <w:t xml:space="preserve">inside_effective_resolution</w:t>
      </w:r>
      <w:r>
        <w:br/>
      </w:r>
      <w:r>
        <w:rPr>
          <w:rStyle w:val="VerbatimChar"/>
        </w:rPr>
        <w:t xml:space="preserve">inside_temporal_capture_window</w:t>
      </w:r>
      <w:r>
        <w:br/>
      </w:r>
      <w:r>
        <w:rPr>
          <w:rStyle w:val="VerbatimChar"/>
        </w:rPr>
        <w:t xml:space="preserve">sensor_sampled</w:t>
      </w:r>
      <w:r>
        <w:br/>
      </w:r>
      <w:r>
        <w:rPr>
          <w:rStyle w:val="VerbatimChar"/>
        </w:rPr>
        <w:t xml:space="preserve">data_transmitted</w:t>
      </w:r>
      <w:r>
        <w:br/>
      </w:r>
      <w:r>
        <w:rPr>
          <w:rStyle w:val="VerbatimChar"/>
        </w:rPr>
        <w:t xml:space="preserve">data_received</w:t>
      </w:r>
      <w:r>
        <w:br/>
      </w:r>
      <w:r>
        <w:rPr>
          <w:rStyle w:val="VerbatimChar"/>
        </w:rPr>
        <w:t xml:space="preserve">rendered_to_interface</w:t>
      </w:r>
      <w:r>
        <w:br/>
      </w:r>
      <w:r>
        <w:rPr>
          <w:rStyle w:val="VerbatimChar"/>
        </w:rPr>
        <w:t xml:space="preserve">entered_human_field_of_view</w:t>
      </w:r>
      <w:r>
        <w:br/>
      </w:r>
      <w:r>
        <w:rPr>
          <w:rStyle w:val="VerbatimChar"/>
        </w:rPr>
        <w:t xml:space="preserve">received_human_attention</w:t>
      </w:r>
      <w:r>
        <w:br/>
      </w:r>
      <w:r>
        <w:rPr>
          <w:rStyle w:val="VerbatimChar"/>
        </w:rPr>
        <w:t xml:space="preserve">machine_detected</w:t>
      </w:r>
      <w:r>
        <w:br/>
      </w:r>
      <w:r>
        <w:rPr>
          <w:rStyle w:val="VerbatimChar"/>
        </w:rPr>
        <w:t xml:space="preserve">machine_correlated</w:t>
      </w:r>
      <w:r>
        <w:br/>
      </w:r>
      <w:r>
        <w:rPr>
          <w:rStyle w:val="VerbatimChar"/>
        </w:rPr>
        <w:t xml:space="preserve">machine_classified</w:t>
      </w:r>
      <w:r>
        <w:br/>
      </w:r>
      <w:r>
        <w:rPr>
          <w:rStyle w:val="VerbatimChar"/>
        </w:rPr>
        <w:t xml:space="preserve">human_acknowledged</w:t>
      </w:r>
      <w:r>
        <w:br/>
      </w:r>
      <w:r>
        <w:rPr>
          <w:rStyle w:val="VerbatimChar"/>
        </w:rPr>
        <w:t xml:space="preserve">action_followed</w:t>
      </w:r>
    </w:p>
    <w:p>
      <w:pPr>
        <w:pStyle w:val="FirstParagraph"/>
      </w:pPr>
      <w:r>
        <w:t xml:space="preserve">The difference matters. An object can be in line of sight but outside useful resolution. A sensor can sample it while the network drops the data. The interface can render it outside the operator’s field of view. The operator can look at it without attending to it. A model can classify it while the human rejects the classification. A human can accept the classification without acting because authority is absent.</w:t>
      </w:r>
    </w:p>
    <w:p>
      <w:pPr>
        <w:pStyle w:val="BodyText"/>
      </w:pPr>
      <w:r>
        <w:rPr>
          <w:rStyle w:val="VerbatimChar"/>
        </w:rPr>
        <w:t xml:space="preserve">SightState</w:t>
      </w:r>
      <w:r>
        <w:t xml:space="preserve"> </w:t>
      </w:r>
      <w:r>
        <w:t xml:space="preserve">records the current chain.</w:t>
      </w:r>
      <w:r>
        <w:t xml:space="preserve"> </w:t>
      </w:r>
      <w:r>
        <w:rPr>
          <w:rStyle w:val="VerbatimChar"/>
        </w:rPr>
        <w:t xml:space="preserve">WasInSight</w:t>
      </w:r>
      <w:r>
        <w:t xml:space="preserve"> </w:t>
      </w:r>
      <w:r>
        <w:t xml:space="preserve">reconstructs a prior interval. The latter is load-bearing because an object can leave view while a stale track or remembered declaration continues to influence behavior. A correction may need to explain not only what is visible now, but which prior view created the current belief.</w:t>
      </w:r>
    </w:p>
    <w:p>
      <w:pPr>
        <w:pStyle w:val="BodyText"/>
      </w:pPr>
      <w:r>
        <w:t xml:space="preserve">The architecture does not infer private mental content from gaze or behavior. It records accessible observables and their limits. Gaze may show that a region entered the visual field. It does not prove understanding or agreement. Reaction may suggest uptake. It does not establish why the actor moved.</w:t>
      </w:r>
    </w:p>
    <w:bookmarkEnd w:id="82"/>
    <w:bookmarkStart w:id="83" w:name="X1d0cf25e5aee970d55d0d42a02f44e9ac7441bf"/>
    <w:p>
      <w:pPr>
        <w:pStyle w:val="Heading2"/>
      </w:pPr>
      <w:r>
        <w:t xml:space="preserve">29. Reaction receipts and belief-state estimation</w:t>
      </w:r>
    </w:p>
    <w:p>
      <w:pPr>
        <w:pStyle w:val="FirstParagraph"/>
      </w:pPr>
      <w:r>
        <w:t xml:space="preserve">Belief state is human and institutional even when machine inference surrounds it. The system cannot directly read another actor’s beliefs. It can estimate candidate belief states from reaction patterns and preserve alternatives.</w:t>
      </w:r>
    </w:p>
    <w:p>
      <w:pPr>
        <w:pStyle w:val="SourceCode"/>
      </w:pPr>
      <w:r>
        <w:rPr>
          <w:rStyle w:val="VerbatimChar"/>
        </w:rPr>
        <w:t xml:space="preserve">ReactionReceipt = {</w:t>
      </w:r>
      <w:r>
        <w:br/>
      </w:r>
      <w:r>
        <w:rPr>
          <w:rStyle w:val="VerbatimChar"/>
        </w:rPr>
        <w:t xml:space="preserve">  preceding_signal,</w:t>
      </w:r>
      <w:r>
        <w:br/>
      </w:r>
      <w:r>
        <w:rPr>
          <w:rStyle w:val="VerbatimChar"/>
        </w:rPr>
        <w:t xml:space="preserve">  predicted_observer_access,</w:t>
      </w:r>
      <w:r>
        <w:br/>
      </w:r>
      <w:r>
        <w:rPr>
          <w:rStyle w:val="VerbatimChar"/>
        </w:rPr>
        <w:t xml:space="preserve">  response_time,</w:t>
      </w:r>
      <w:r>
        <w:br/>
      </w:r>
      <w:r>
        <w:rPr>
          <w:rStyle w:val="VerbatimChar"/>
        </w:rPr>
        <w:t xml:space="preserve">  sensor_reorientation,</w:t>
      </w:r>
      <w:r>
        <w:br/>
      </w:r>
      <w:r>
        <w:rPr>
          <w:rStyle w:val="VerbatimChar"/>
        </w:rPr>
        <w:t xml:space="preserve">  interface_interaction,</w:t>
      </w:r>
      <w:r>
        <w:br/>
      </w:r>
      <w:r>
        <w:rPr>
          <w:rStyle w:val="VerbatimChar"/>
        </w:rPr>
        <w:t xml:space="preserve">  communication_change,</w:t>
      </w:r>
      <w:r>
        <w:br/>
      </w:r>
      <w:r>
        <w:rPr>
          <w:rStyle w:val="VerbatimChar"/>
        </w:rPr>
        <w:t xml:space="preserve">  resource_commitment,</w:t>
      </w:r>
      <w:r>
        <w:br/>
      </w:r>
      <w:r>
        <w:rPr>
          <w:rStyle w:val="VerbatimChar"/>
        </w:rPr>
        <w:t xml:space="preserve">  vector_change,</w:t>
      </w:r>
      <w:r>
        <w:br/>
      </w:r>
      <w:r>
        <w:rPr>
          <w:rStyle w:val="VerbatimChar"/>
        </w:rPr>
        <w:t xml:space="preserve">  reinspection_behavior,</w:t>
      </w:r>
      <w:r>
        <w:br/>
      </w:r>
      <w:r>
        <w:rPr>
          <w:rStyle w:val="VerbatimChar"/>
        </w:rPr>
        <w:t xml:space="preserve">  declaration_behavior,</w:t>
      </w:r>
      <w:r>
        <w:br/>
      </w:r>
      <w:r>
        <w:rPr>
          <w:rStyle w:val="VerbatimChar"/>
        </w:rPr>
        <w:t xml:space="preserve">  attention_reallocation,</w:t>
      </w:r>
      <w:r>
        <w:br/>
      </w:r>
      <w:r>
        <w:rPr>
          <w:rStyle w:val="VerbatimChar"/>
        </w:rPr>
        <w:t xml:space="preserve">  candidate_explanations,</w:t>
      </w:r>
      <w:r>
        <w:br/>
      </w:r>
      <w:r>
        <w:rPr>
          <w:rStyle w:val="VerbatimChar"/>
        </w:rPr>
        <w:t xml:space="preserve">  confidence,</w:t>
      </w:r>
      <w:r>
        <w:br/>
      </w:r>
      <w:r>
        <w:rPr>
          <w:rStyle w:val="VerbatimChar"/>
        </w:rPr>
        <w:t xml:space="preserve">  falsifiers</w:t>
      </w:r>
      <w:r>
        <w:br/>
      </w:r>
      <w:r>
        <w:rPr>
          <w:rStyle w:val="VerbatimChar"/>
        </w:rPr>
        <w:t xml:space="preserve">}</w:t>
      </w:r>
    </w:p>
    <w:p>
      <w:pPr>
        <w:pStyle w:val="FirstParagraph"/>
      </w:pPr>
      <w:r>
        <w:t xml:space="preserve">Three uptake states remain distinct: observed, interpreted, and accepted. This is useful for resilience, training, and after-action reconstruction. It can reveal that an interface cue was repeatedly accepted before source inspection, or that a correction failed to reach downstream users. It must not be converted into an unreviewable claim about intent or moral character.</w:t>
      </w:r>
    </w:p>
    <w:p>
      <w:pPr>
        <w:pStyle w:val="BodyText"/>
      </w:pPr>
      <w:r>
        <w:t xml:space="preserve">POMDPs formalize action under partial observability, while causal models distinguish observation from intervention and help structure alternative explanations.</w:t>
      </w:r>
      <w:r>
        <w:t xml:space="preserve"> </w:t>
      </w:r>
      <w:hyperlink w:anchor="ref-Kaelbling1998POMDP">
        <w:r>
          <w:rPr>
            <w:rStyle w:val="Hyperlink"/>
          </w:rPr>
          <w:t xml:space="preserve">[26]</w:t>
        </w:r>
      </w:hyperlink>
      <w:r>
        <w:t xml:space="preserve">,</w:t>
      </w:r>
      <w:r>
        <w:t xml:space="preserve"> </w:t>
      </w:r>
      <w:hyperlink w:anchor="ref-Pearl2009Causality">
        <w:r>
          <w:rPr>
            <w:rStyle w:val="Hyperlink"/>
          </w:rPr>
          <w:t xml:space="preserve">[27]</w:t>
        </w:r>
      </w:hyperlink>
      <w:r>
        <w:t xml:space="preserve"> </w:t>
      </w:r>
      <w:r>
        <w:t xml:space="preserve">FORKED uses these as analytical neighbors, not as replacements for the receipt and authority surface.</w:t>
      </w:r>
    </w:p>
    <w:bookmarkEnd w:id="83"/>
    <w:bookmarkStart w:id="84" w:name="X3eeae6d6f4f94aba221da1b029ef9f622998ca8"/>
    <w:p>
      <w:pPr>
        <w:pStyle w:val="Heading2"/>
      </w:pPr>
      <w:r>
        <w:t xml:space="preserve">30. The human is the reality-mutation boundary</w:t>
      </w:r>
    </w:p>
    <w:p>
      <w:pPr>
        <w:pStyle w:val="FirstParagraph"/>
      </w:pPr>
      <w:r>
        <w:t xml:space="preserve">A machine can render, recommend, rank, and predict. A human or human-authorized institution converts some outputs into standing, resource movement, or durable record. This makes the human a causal boundary, but not automatically a meaningful controller.</w:t>
      </w:r>
    </w:p>
    <w:p>
      <w:pPr>
        <w:pStyle w:val="BodyText"/>
      </w:pPr>
      <w:r>
        <w:t xml:space="preserve">A nominal human-in-the-loop design can leave the person with ceremonial responsibility after the system has already selected the evidence, chosen the categories, ordered the options, established urgency, defined confidence, and written the memory the next decision will inherit. Classical automation research has long warned that removing routine control can leave humans responsible for rare situations in which their skills and situation awareness have degraded.</w:t>
      </w:r>
      <w:r>
        <w:t xml:space="preserve"> </w:t>
      </w:r>
      <w:hyperlink w:anchor="ref-Bainbridge1983Ironies">
        <w:r>
          <w:rPr>
            <w:rStyle w:val="Hyperlink"/>
          </w:rPr>
          <w:t xml:space="preserve">[28]</w:t>
        </w:r>
      </w:hyperlink>
      <w:r>
        <w:t xml:space="preserve">,</w:t>
      </w:r>
      <w:r>
        <w:t xml:space="preserve"> </w:t>
      </w:r>
      <w:hyperlink w:anchor="ref-Parasuraman2000Automation">
        <w:r>
          <w:rPr>
            <w:rStyle w:val="Hyperlink"/>
          </w:rPr>
          <w:t xml:space="preserve">[29]</w:t>
        </w:r>
      </w:hyperlink>
    </w:p>
    <w:p>
      <w:pPr>
        <w:pStyle w:val="BodyText"/>
      </w:pPr>
      <w:r>
        <w:t xml:space="preserve">FORKED therefore separates human presence, acknowledgment, approval, meaningful agency, causal contribution, and liability.</w:t>
      </w:r>
    </w:p>
    <w:p>
      <w:pPr>
        <w:pStyle w:val="BodyText"/>
      </w:pPr>
      <w:r>
        <w:t xml:space="preserve">A meaningful agency envelope includes source and transformation visibility; uncertainty and alternative visibility; time appropriate to the responsibility class; ability to request complements; ability to challenge, refuse, escalate, delay, and reverse where lawful; ability to correct dependent history; freedom from a coercive or hidden default; vocabulary independence; and clear liability ownership.</w:t>
      </w:r>
    </w:p>
    <w:p>
      <w:pPr>
        <w:pStyle w:val="BodyText"/>
      </w:pPr>
      <w:r>
        <w:t xml:space="preserve">This extends meaningful-human-control work on tracking and tracing. A system should respond to the relevant reasons of relevant human actors, and potentially dangerous events should remain attributable through a human and institutional chain.</w:t>
      </w:r>
      <w:r>
        <w:t xml:space="preserve"> </w:t>
      </w:r>
      <w:hyperlink w:anchor="ref-Mecacci2020MHC">
        <w:r>
          <w:rPr>
            <w:rStyle w:val="Hyperlink"/>
          </w:rPr>
          <w:t xml:space="preserve">[30]</w:t>
        </w:r>
      </w:hyperlink>
      <w:r>
        <w:t xml:space="preserve">,</w:t>
      </w:r>
      <w:r>
        <w:t xml:space="preserve"> </w:t>
      </w:r>
      <w:hyperlink w:anchor="ref-DeSio2023MHC">
        <w:r>
          <w:rPr>
            <w:rStyle w:val="Hyperlink"/>
          </w:rPr>
          <w:t xml:space="preserve">[31]</w:t>
        </w:r>
      </w:hyperlink>
    </w:p>
    <w:bookmarkEnd w:id="84"/>
    <w:bookmarkStart w:id="85" w:name="agencyreceipt-and-liability-geometry"/>
    <w:p>
      <w:pPr>
        <w:pStyle w:val="Heading2"/>
      </w:pPr>
      <w:r>
        <w:t xml:space="preserve">31. AgencyReceipt and liability geometry</w:t>
      </w:r>
    </w:p>
    <w:p>
      <w:pPr>
        <w:pStyle w:val="FirstParagraph"/>
      </w:pPr>
      <w:r>
        <w:t xml:space="preserve">An</w:t>
      </w:r>
      <w:r>
        <w:t xml:space="preserve"> </w:t>
      </w:r>
      <w:r>
        <w:rPr>
          <w:rStyle w:val="VerbatimChar"/>
        </w:rPr>
        <w:t xml:space="preserve">AgencyReceipt</w:t>
      </w:r>
      <w:r>
        <w:t xml:space="preserve"> </w:t>
      </w:r>
      <w:r>
        <w:t xml:space="preserve">records what the human actually possessed at decision time:</w:t>
      </w:r>
    </w:p>
    <w:p>
      <w:pPr>
        <w:pStyle w:val="SourceCode"/>
      </w:pPr>
      <w:r>
        <w:rPr>
          <w:rStyle w:val="VerbatimChar"/>
        </w:rPr>
        <w:t xml:space="preserve">AgencyReceipt = {</w:t>
      </w:r>
      <w:r>
        <w:br/>
      </w:r>
      <w:r>
        <w:rPr>
          <w:rStyle w:val="VerbatimChar"/>
        </w:rPr>
        <w:t xml:space="preserve">  actor,</w:t>
      </w:r>
      <w:r>
        <w:br/>
      </w:r>
      <w:r>
        <w:rPr>
          <w:rStyle w:val="VerbatimChar"/>
        </w:rPr>
        <w:t xml:space="preserve">  role,</w:t>
      </w:r>
      <w:r>
        <w:br/>
      </w:r>
      <w:r>
        <w:rPr>
          <w:rStyle w:val="VerbatimChar"/>
        </w:rPr>
        <w:t xml:space="preserve">  authority_scope,</w:t>
      </w:r>
      <w:r>
        <w:br/>
      </w:r>
      <w:r>
        <w:rPr>
          <w:rStyle w:val="VerbatimChar"/>
        </w:rPr>
        <w:t xml:space="preserve">  evidence_visible,</w:t>
      </w:r>
      <w:r>
        <w:br/>
      </w:r>
      <w:r>
        <w:rPr>
          <w:rStyle w:val="VerbatimChar"/>
        </w:rPr>
        <w:t xml:space="preserve">  sources_inspected,</w:t>
      </w:r>
      <w:r>
        <w:br/>
      </w:r>
      <w:r>
        <w:rPr>
          <w:rStyle w:val="VerbatimChar"/>
        </w:rPr>
        <w:t xml:space="preserve">  alternatives_visible,</w:t>
      </w:r>
      <w:r>
        <w:br/>
      </w:r>
      <w:r>
        <w:rPr>
          <w:rStyle w:val="VerbatimChar"/>
        </w:rPr>
        <w:t xml:space="preserve">  recommendation_default,</w:t>
      </w:r>
      <w:r>
        <w:br/>
      </w:r>
      <w:r>
        <w:rPr>
          <w:rStyle w:val="VerbatimChar"/>
        </w:rPr>
        <w:t xml:space="preserve">  time_available,</w:t>
      </w:r>
      <w:r>
        <w:br/>
      </w:r>
      <w:r>
        <w:rPr>
          <w:rStyle w:val="VerbatimChar"/>
        </w:rPr>
        <w:t xml:space="preserve">  challenge_available,</w:t>
      </w:r>
      <w:r>
        <w:br/>
      </w:r>
      <w:r>
        <w:rPr>
          <w:rStyle w:val="VerbatimChar"/>
        </w:rPr>
        <w:t xml:space="preserve">  delay_available,</w:t>
      </w:r>
      <w:r>
        <w:br/>
      </w:r>
      <w:r>
        <w:rPr>
          <w:rStyle w:val="VerbatimChar"/>
        </w:rPr>
        <w:t xml:space="preserve">  reversal_available,</w:t>
      </w:r>
      <w:r>
        <w:br/>
      </w:r>
      <w:r>
        <w:rPr>
          <w:rStyle w:val="VerbatimChar"/>
        </w:rPr>
        <w:t xml:space="preserve">  correction_available,</w:t>
      </w:r>
      <w:r>
        <w:br/>
      </w:r>
      <w:r>
        <w:rPr>
          <w:rStyle w:val="VerbatimChar"/>
        </w:rPr>
        <w:t xml:space="preserve">  consequences_disclosed,</w:t>
      </w:r>
      <w:r>
        <w:br/>
      </w:r>
      <w:r>
        <w:rPr>
          <w:rStyle w:val="VerbatimChar"/>
        </w:rPr>
        <w:t xml:space="preserve">  confidence_entered_before_advice,</w:t>
      </w:r>
      <w:r>
        <w:br/>
      </w:r>
      <w:r>
        <w:rPr>
          <w:rStyle w:val="VerbatimChar"/>
        </w:rPr>
        <w:t xml:space="preserve">  confidence_entered_after_advice,</w:t>
      </w:r>
      <w:r>
        <w:br/>
      </w:r>
      <w:r>
        <w:rPr>
          <w:rStyle w:val="VerbatimChar"/>
        </w:rPr>
        <w:t xml:space="preserve">  decision_changed,</w:t>
      </w:r>
      <w:r>
        <w:br/>
      </w:r>
      <w:r>
        <w:rPr>
          <w:rStyle w:val="VerbatimChar"/>
        </w:rPr>
        <w:t xml:space="preserve">  liability_owner,</w:t>
      </w:r>
      <w:r>
        <w:br/>
      </w:r>
      <w:r>
        <w:rPr>
          <w:rStyle w:val="VerbatimChar"/>
        </w:rPr>
        <w:t xml:space="preserve">  system_designers,</w:t>
      </w:r>
      <w:r>
        <w:br/>
      </w:r>
      <w:r>
        <w:rPr>
          <w:rStyle w:val="VerbatimChar"/>
        </w:rPr>
        <w:t xml:space="preserve">  approving_institution,</w:t>
      </w:r>
      <w:r>
        <w:br/>
      </w:r>
      <w:r>
        <w:rPr>
          <w:rStyle w:val="VerbatimChar"/>
        </w:rPr>
        <w:t xml:space="preserve">  runtime_identity,</w:t>
      </w:r>
      <w:r>
        <w:br/>
      </w:r>
      <w:r>
        <w:rPr>
          <w:rStyle w:val="VerbatimChar"/>
        </w:rPr>
        <w:t xml:space="preserve">  receipt_time</w:t>
      </w:r>
      <w:r>
        <w:br/>
      </w:r>
      <w:r>
        <w:rPr>
          <w:rStyle w:val="VerbatimChar"/>
        </w:rPr>
        <w:t xml:space="preserve">}</w:t>
      </w:r>
    </w:p>
    <w:p>
      <w:pPr>
        <w:pStyle w:val="FirstParagraph"/>
      </w:pPr>
      <w:r>
        <w:t xml:space="preserve">Liability does not follow the last click automatically. If the surrounding system constrained the human’s reachable options, the system designers, policy authors, model providers, data stewards, approvers, and institution remain in the causal graph. A person can be authorized to make a decision while lacking the information or time needed to control the reasons the system was responding to.</w:t>
      </w:r>
    </w:p>
    <w:p>
      <w:pPr>
        <w:pStyle w:val="BodyText"/>
      </w:pPr>
      <w:r>
        <w:t xml:space="preserve">This is not a method for dissolving individual responsibility. It is a method for refusing false transfer. Responsibility remains distributed where causality, authority, and ability to correct were distributed. Work on responsibility loci similarly warns against attributing independent agency to automation in ways that erase the collaboration that produced the outcome.</w:t>
      </w:r>
      <w:r>
        <w:t xml:space="preserve"> </w:t>
      </w:r>
      <w:hyperlink w:anchor="ref-Nyholm2018Agency">
        <w:r>
          <w:rPr>
            <w:rStyle w:val="Hyperlink"/>
          </w:rPr>
          <w:t xml:space="preserve">[32]</w:t>
        </w:r>
      </w:hyperlink>
    </w:p>
    <w:bookmarkEnd w:id="85"/>
    <w:bookmarkStart w:id="86" w:name="X59bf2bb56a59ead518c291f35c6273e87a934aa"/>
    <w:p>
      <w:pPr>
        <w:pStyle w:val="Heading2"/>
      </w:pPr>
      <w:r>
        <w:t xml:space="preserve">32. Appropriate reliance rather than maximal trust</w:t>
      </w:r>
    </w:p>
    <w:p>
      <w:pPr>
        <w:pStyle w:val="FirstParagraph"/>
      </w:pPr>
      <w:r>
        <w:t xml:space="preserve">FORKED does not optimize trust upward. It optimizes reliance toward the state in which humans accept correct assistance, reject incorrect assistance, and preserve correction across repeated interaction.</w:t>
      </w:r>
    </w:p>
    <w:p>
      <w:pPr>
        <w:pStyle w:val="BodyText"/>
      </w:pPr>
      <w:r>
        <w:t xml:space="preserve">Prediction sets and cognitive forcing functions illustrate two relevant mechanisms. Prediction sets can expose uncertainty and alternatives rather than presenting one answer, and studies have found benefits in some human decision tasks. They can also create larger cognitive loads and disparate effects.</w:t>
      </w:r>
      <w:r>
        <w:t xml:space="preserve"> </w:t>
      </w:r>
      <w:hyperlink w:anchor="ref-Cresswell2024Conformal">
        <w:r>
          <w:rPr>
            <w:rStyle w:val="Hyperlink"/>
          </w:rPr>
          <w:t xml:space="preserve">[33]</w:t>
        </w:r>
      </w:hyperlink>
      <w:r>
        <w:t xml:space="preserve">,</w:t>
      </w:r>
      <w:r>
        <w:t xml:space="preserve"> </w:t>
      </w:r>
      <w:hyperlink w:anchor="ref-Babbar2022PredictionSets">
        <w:r>
          <w:rPr>
            <w:rStyle w:val="Hyperlink"/>
          </w:rPr>
          <w:t xml:space="preserve">[34]</w:t>
        </w:r>
      </w:hyperlink>
      <w:r>
        <w:t xml:space="preserve">,</w:t>
      </w:r>
      <w:r>
        <w:t xml:space="preserve"> </w:t>
      </w:r>
      <w:hyperlink w:anchor="ref-Cresswell2024Disparate">
        <w:r>
          <w:rPr>
            <w:rStyle w:val="Hyperlink"/>
          </w:rPr>
          <w:t xml:space="preserve">[35]</w:t>
        </w:r>
      </w:hyperlink>
      <w:r>
        <w:t xml:space="preserve"> </w:t>
      </w:r>
      <w:r>
        <w:t xml:space="preserve">Cognitive forcing functions can reduce overreliance by requiring independent thought, but the added friction is not free.</w:t>
      </w:r>
      <w:r>
        <w:t xml:space="preserve"> </w:t>
      </w:r>
      <w:hyperlink w:anchor="ref-Bucinca2021Forcing">
        <w:r>
          <w:rPr>
            <w:rStyle w:val="Hyperlink"/>
          </w:rPr>
          <w:t xml:space="preserve">[36]</w:t>
        </w:r>
      </w:hyperlink>
    </w:p>
    <w:p>
      <w:pPr>
        <w:pStyle w:val="BodyText"/>
      </w:pPr>
      <w:r>
        <w:t xml:space="preserve">FORKED’s branch-preserving interface is therefore responsibility-scaled. It can require an independent estimate before advice for high-consequence tasks, while allowing compact branch presentation for reversible work. It records both premature closure and trauma-driven non-closure. It does not celebrate caution that prevents a lawful declaration after the threshold is met.</w:t>
      </w:r>
    </w:p>
    <w:p>
      <w:pPr>
        <w:pStyle w:val="BodyText"/>
      </w:pPr>
      <w:r>
        <w:t xml:space="preserve">The trust criterion is longitudinal: the path must survive correction, counterevidence, scope change, authority challenge, timing faults, dependency discovery, and repeated movement toward telos.</w:t>
      </w:r>
    </w:p>
    <w:bookmarkEnd w:id="86"/>
    <w:bookmarkStart w:id="87" w:name="Xbf098d1895a298d02fadfa700b66d4f74b0efd4"/>
    <w:p>
      <w:pPr>
        <w:pStyle w:val="Heading2"/>
      </w:pPr>
      <w:r>
        <w:t xml:space="preserve">33. Deterministic authority and probabilistic inference</w:t>
      </w:r>
    </w:p>
    <w:p>
      <w:pPr>
        <w:pStyle w:val="FirstParagraph"/>
      </w:pPr>
      <w:r>
        <w:t xml:space="preserve">Probabilistic models are powerful at perception, synthesis, search, and proposal. Their variability and failure modes make them poor sole authorities for protected state mutation.</w:t>
      </w:r>
    </w:p>
    <w:p>
      <w:pPr>
        <w:pStyle w:val="BodyText"/>
      </w:pPr>
      <w:r>
        <w:t xml:space="preserve">FORKED separates two planes:</w:t>
      </w:r>
    </w:p>
    <w:p>
      <w:pPr>
        <w:pStyle w:val="SourceCode"/>
      </w:pPr>
      <w:r>
        <w:rPr>
          <w:rStyle w:val="VerbatimChar"/>
        </w:rPr>
        <w:t xml:space="preserve">PROBABILISTIC PLANE</w:t>
      </w:r>
      <w:r>
        <w:br/>
      </w:r>
      <w:r>
        <w:rPr>
          <w:rStyle w:val="VerbatimChar"/>
        </w:rPr>
        <w:t xml:space="preserve">  fusion</w:t>
      </w:r>
      <w:r>
        <w:br/>
      </w:r>
      <w:r>
        <w:rPr>
          <w:rStyle w:val="VerbatimChar"/>
        </w:rPr>
        <w:t xml:space="preserve">  classification</w:t>
      </w:r>
      <w:r>
        <w:br/>
      </w:r>
      <w:r>
        <w:rPr>
          <w:rStyle w:val="VerbatimChar"/>
        </w:rPr>
        <w:t xml:space="preserve">  anomaly detection</w:t>
      </w:r>
      <w:r>
        <w:br/>
      </w:r>
      <w:r>
        <w:rPr>
          <w:rStyle w:val="VerbatimChar"/>
        </w:rPr>
        <w:t xml:space="preserve">  observer modeling</w:t>
      </w:r>
      <w:r>
        <w:br/>
      </w:r>
      <w:r>
        <w:rPr>
          <w:rStyle w:val="VerbatimChar"/>
        </w:rPr>
        <w:t xml:space="preserve">  branch generation</w:t>
      </w:r>
      <w:r>
        <w:br/>
      </w:r>
      <w:r>
        <w:rPr>
          <w:rStyle w:val="VerbatimChar"/>
        </w:rPr>
        <w:t xml:space="preserve">  counterfactuals</w:t>
      </w:r>
      <w:r>
        <w:br/>
      </w:r>
      <w:r>
        <w:rPr>
          <w:rStyle w:val="VerbatimChar"/>
        </w:rPr>
        <w:t xml:space="preserve">  narrative projection</w:t>
      </w:r>
      <w:r>
        <w:br/>
      </w:r>
      <w:r>
        <w:br/>
      </w:r>
      <w:r>
        <w:rPr>
          <w:rStyle w:val="VerbatimChar"/>
        </w:rPr>
        <w:t xml:space="preserve">DETERMINISTIC AUTHORITY PLANE</w:t>
      </w:r>
      <w:r>
        <w:br/>
      </w:r>
      <w:r>
        <w:rPr>
          <w:rStyle w:val="VerbatimChar"/>
        </w:rPr>
        <w:t xml:space="preserve">  source authentication</w:t>
      </w:r>
      <w:r>
        <w:br/>
      </w:r>
      <w:r>
        <w:rPr>
          <w:rStyle w:val="VerbatimChar"/>
        </w:rPr>
        <w:t xml:space="preserve">  runtime identity</w:t>
      </w:r>
      <w:r>
        <w:br/>
      </w:r>
      <w:r>
        <w:rPr>
          <w:rStyle w:val="VerbatimChar"/>
        </w:rPr>
        <w:t xml:space="preserve">  time and sequence</w:t>
      </w:r>
      <w:r>
        <w:br/>
      </w:r>
      <w:r>
        <w:rPr>
          <w:rStyle w:val="VerbatimChar"/>
        </w:rPr>
        <w:t xml:space="preserve">  schema validation</w:t>
      </w:r>
      <w:r>
        <w:br/>
      </w:r>
      <w:r>
        <w:rPr>
          <w:rStyle w:val="VerbatimChar"/>
        </w:rPr>
        <w:t xml:space="preserve">  authority predicates</w:t>
      </w:r>
      <w:r>
        <w:br/>
      </w:r>
      <w:r>
        <w:rPr>
          <w:rStyle w:val="VerbatimChar"/>
        </w:rPr>
        <w:t xml:space="preserve">  state-transition admission</w:t>
      </w:r>
      <w:r>
        <w:br/>
      </w:r>
      <w:r>
        <w:rPr>
          <w:rStyle w:val="VerbatimChar"/>
        </w:rPr>
        <w:t xml:space="preserve">  protected-ledger write</w:t>
      </w:r>
      <w:r>
        <w:br/>
      </w:r>
      <w:r>
        <w:rPr>
          <w:rStyle w:val="VerbatimChar"/>
        </w:rPr>
        <w:t xml:space="preserve">  rollback and correction fan-out</w:t>
      </w:r>
    </w:p>
    <w:p>
      <w:pPr>
        <w:pStyle w:val="FirstParagraph"/>
      </w:pPr>
      <w:r>
        <w:t xml:space="preserve">The separation can be physical, logical, or both. The key property is that a model cannot grant itself the transition it proposes. A deterministic plane also does not become sovereign merely because it is deterministic. Its rules, keys, clocks, and configuration require provenance and lifecycle validation.</w:t>
      </w:r>
    </w:p>
    <w:p>
      <w:pPr>
        <w:pStyle w:val="BodyText"/>
      </w:pPr>
      <w:r>
        <w:t xml:space="preserve">The first synthetic fault campaign found that separated authority reduced encoded unauthorized transitions by approximately 0.136 and protected-ledger contamination by approximately 0.123 relative to a unified baseline, while imposing availability and complexity costs.</w:t>
      </w:r>
      <w:r>
        <w:t xml:space="preserve"> </w:t>
      </w:r>
      <w:hyperlink w:anchor="ref-ForkedExperiments2026">
        <w:r>
          <w:rPr>
            <w:rStyle w:val="Hyperlink"/>
          </w:rPr>
          <w:t xml:space="preserve">[10]</w:t>
        </w:r>
      </w:hyperlink>
      <w:r>
        <w:t xml:space="preserve"> </w:t>
      </w:r>
      <w:r>
        <w:t xml:space="preserve">The parent interpretation is not separate everything maximally. It is select the boundary according to responsibility.</w:t>
      </w:r>
    </w:p>
    <w:bookmarkEnd w:id="87"/>
    <w:bookmarkStart w:id="88" w:name="X9b6c6e9c41857e880ee536b824c9b65724b8dd8"/>
    <w:p>
      <w:pPr>
        <w:pStyle w:val="Heading2"/>
      </w:pPr>
      <w:r>
        <w:t xml:space="preserve">34. Source-time, runtime identity, and conformation</w:t>
      </w:r>
    </w:p>
    <w:p>
      <w:pPr>
        <w:pStyle w:val="FirstParagraph"/>
      </w:pPr>
      <w:r>
        <w:t xml:space="preserve">A source can be canonical as intent while the runtime behaves differently. FORKED therefore binds state transitions to both documentary and executable identity.</w:t>
      </w:r>
    </w:p>
    <w:p>
      <w:pPr>
        <w:pStyle w:val="BodyText"/>
      </w:pPr>
      <w:r>
        <w:t xml:space="preserve">The minimum runtime receipt can include source artifact hash, configuration hash, model identifier and weights digest, dependency lock digest, environment digest, sensor calibration state, clock source and uncertainty, interface version, authority policy version, and loaded runtime readback.</w:t>
      </w:r>
    </w:p>
    <w:p>
      <w:pPr>
        <w:pStyle w:val="BodyText"/>
      </w:pPr>
      <w:r>
        <w:t xml:space="preserve">SLSA and in-toto provide adjacent supply-chain mechanisms for recording where, when, how, and by whom software artifacts were produced. W3C PROV provides a general representation of entities, activities, agents, derivation, and influence. C2PA provides content provenance and binding.</w:t>
      </w:r>
      <w:r>
        <w:t xml:space="preserve"> </w:t>
      </w:r>
      <w:hyperlink w:anchor="ref-W3CPROV2013">
        <w:r>
          <w:rPr>
            <w:rStyle w:val="Hyperlink"/>
          </w:rPr>
          <w:t xml:space="preserve">[15]</w:t>
        </w:r>
      </w:hyperlink>
      <w:r>
        <w:t xml:space="preserve">,</w:t>
      </w:r>
      <w:r>
        <w:t xml:space="preserve"> </w:t>
      </w:r>
      <w:hyperlink w:anchor="ref-C2PA2025">
        <w:r>
          <w:rPr>
            <w:rStyle w:val="Hyperlink"/>
          </w:rPr>
          <w:t xml:space="preserve">[16]</w:t>
        </w:r>
      </w:hyperlink>
      <w:r>
        <w:t xml:space="preserve">,</w:t>
      </w:r>
      <w:r>
        <w:t xml:space="preserve"> </w:t>
      </w:r>
      <w:hyperlink w:anchor="ref-SLSA2026">
        <w:r>
          <w:rPr>
            <w:rStyle w:val="Hyperlink"/>
          </w:rPr>
          <w:t xml:space="preserve">[17]</w:t>
        </w:r>
      </w:hyperlink>
      <w:r>
        <w:t xml:space="preserve">,</w:t>
      </w:r>
      <w:r>
        <w:t xml:space="preserve"> </w:t>
      </w:r>
      <w:hyperlink w:anchor="ref-InToto2024">
        <w:r>
          <w:rPr>
            <w:rStyle w:val="Hyperlink"/>
          </w:rPr>
          <w:t xml:space="preserve">[18]</w:t>
        </w:r>
      </w:hyperlink>
      <w:r>
        <w:t xml:space="preserve"> </w:t>
      </w:r>
      <w:r>
        <w:t xml:space="preserve">FORKED adopts the principle but keeps a critical distinction: provenance establishes ancestry and process. It does not prove the semantic truth of the claim the artifact contains.</w:t>
      </w:r>
    </w:p>
    <w:bookmarkEnd w:id="88"/>
    <w:bookmarkStart w:id="89" w:name="observer-indexed-carriers"/>
    <w:p>
      <w:pPr>
        <w:pStyle w:val="Heading2"/>
      </w:pPr>
      <w:r>
        <w:t xml:space="preserve">35. Observer-indexed carriers</w:t>
      </w:r>
    </w:p>
    <w:p>
      <w:pPr>
        <w:pStyle w:val="FirstParagraph"/>
      </w:pPr>
      <w:r>
        <w:t xml:space="preserve">One physical or virtual carrier can expose different compatible messages to different observers because observers privilege different spatial, temporal, spectral, and semantic features. Hybrid images demonstrate a basic visual case; Decoy Font applies a related design idea to human and image-model readers.</w:t>
      </w:r>
      <w:r>
        <w:t xml:space="preserve"> </w:t>
      </w:r>
      <w:hyperlink w:anchor="ref-Oliva2006Hybrid">
        <w:r>
          <w:rPr>
            <w:rStyle w:val="Hyperlink"/>
          </w:rPr>
          <w:t xml:space="preserve">[37]</w:t>
        </w:r>
      </w:hyperlink>
      <w:r>
        <w:t xml:space="preserve">,</w:t>
      </w:r>
      <w:r>
        <w:t xml:space="preserve"> </w:t>
      </w:r>
      <w:hyperlink w:anchor="ref-Mixfont2026Decoy">
        <w:r>
          <w:rPr>
            <w:rStyle w:val="Hyperlink"/>
          </w:rPr>
          <w:t xml:space="preserve">[38]</w:t>
        </w:r>
      </w:hyperlink>
    </w:p>
    <w:p>
      <w:pPr>
        <w:pStyle w:val="BodyText"/>
      </w:pPr>
      <w:r>
        <w:t xml:space="preserve">FORKED generalizes the carrier as a cooperative capacity-signaling problem. A human-readable surface may show</w:t>
      </w:r>
      <w:r>
        <w:t xml:space="preserve"> </w:t>
      </w:r>
      <w:r>
        <w:rPr>
          <w:rStyle w:val="VerbatimChar"/>
        </w:rPr>
        <w:t xml:space="preserve">AVAILABLE</w:t>
      </w:r>
      <w:r>
        <w:t xml:space="preserve">,</w:t>
      </w:r>
      <w:r>
        <w:t xml:space="preserve"> </w:t>
      </w:r>
      <w:r>
        <w:rPr>
          <w:rStyle w:val="VerbatimChar"/>
        </w:rPr>
        <w:t xml:space="preserve">DEGRADED</w:t>
      </w:r>
      <w:r>
        <w:t xml:space="preserve">,</w:t>
      </w:r>
      <w:r>
        <w:t xml:space="preserve"> </w:t>
      </w:r>
      <w:r>
        <w:rPr>
          <w:rStyle w:val="VerbatimChar"/>
        </w:rPr>
        <w:t xml:space="preserve">RESERVED</w:t>
      </w:r>
      <w:r>
        <w:t xml:space="preserve">, or</w:t>
      </w:r>
      <w:r>
        <w:t xml:space="preserve"> </w:t>
      </w:r>
      <w:r>
        <w:rPr>
          <w:rStyle w:val="VerbatimChar"/>
        </w:rPr>
        <w:t xml:space="preserve">UNKNOWN</w:t>
      </w:r>
      <w:r>
        <w:t xml:space="preserve">, while a machine-readable layer carries identity, capacity, thermal margin, confidence, age, authority, and receipt root. Both views must reconcile to one canonical state.</w:t>
      </w:r>
    </w:p>
    <w:p>
      <w:pPr>
        <w:pStyle w:val="BodyText"/>
      </w:pPr>
      <w:r>
        <w:t xml:space="preserve">The first synthetic carrier benchmark achieved perfect decoding by its human-like surrogate but only approximately chance machine decoding across the full envelope, with practical behavior limited to the lowest severity bin.</w:t>
      </w:r>
      <w:r>
        <w:t xml:space="preserve"> </w:t>
      </w:r>
      <w:hyperlink w:anchor="ref-ForkedExperiments2026">
        <w:r>
          <w:rPr>
            <w:rStyle w:val="Hyperlink"/>
          </w:rPr>
          <w:t xml:space="preserve">[10]</w:t>
        </w:r>
      </w:hyperlink>
      <w:r>
        <w:t xml:space="preserve"> </w:t>
      </w:r>
      <w:r>
        <w:t xml:space="preserve">The architecture is implemented; the broad physical carrier claim remains an empirical lane.</w:t>
      </w:r>
    </w:p>
    <w:bookmarkEnd w:id="89"/>
    <w:bookmarkStart w:id="90" w:name="X1226c7c2f65c74ddb0651693065dcddecfa073e"/>
    <w:p>
      <w:pPr>
        <w:pStyle w:val="Heading2"/>
      </w:pPr>
      <w:r>
        <w:t xml:space="preserve">36. Multimodal disagreement as evidence, not noise</w:t>
      </w:r>
    </w:p>
    <w:p>
      <w:pPr>
        <w:pStyle w:val="FirstParagraph"/>
      </w:pPr>
      <w:r>
        <w:t xml:space="preserve">Sensor fusion often aims to produce one clean world model. FORKED preserves modality-specific claims before computing a working centroid. RGB, event stream, thermal, radar, acoustic, and telemetry may disagree for legitimate reasons. Their disagreement can reveal timing faults, occlusion, functional degradation, or an unsupported transformation.</w:t>
      </w:r>
    </w:p>
    <w:p>
      <w:pPr>
        <w:pStyle w:val="BodyText"/>
      </w:pPr>
      <w:r>
        <w:t xml:space="preserve">The first synthetic multimodal benchmark showed the tradeoff clearly: lane preservation reduced encoded premature terminal declarations while increasing missed warranted declarations and correction cost in some regimes.</w:t>
      </w:r>
      <w:r>
        <w:t xml:space="preserve"> </w:t>
      </w:r>
      <w:hyperlink w:anchor="ref-ForkedExperiments2026">
        <w:r>
          <w:rPr>
            <w:rStyle w:val="Hyperlink"/>
          </w:rPr>
          <w:t xml:space="preserve">[10]</w:t>
        </w:r>
      </w:hyperlink>
      <w:r>
        <w:t xml:space="preserve"> </w:t>
      </w:r>
      <w:r>
        <w:t xml:space="preserve">The correct architecture does not choose disagreement preservation everywhere. It uses responsibility, workload, and the action/delay dual clamp to determine when disagreement must remain visible.</w:t>
      </w:r>
    </w:p>
    <w:bookmarkEnd w:id="90"/>
    <w:bookmarkStart w:id="94" w:name="X78cc5cdcd754f89a0476d747b64058513332d58"/>
    <w:p>
      <w:pPr>
        <w:pStyle w:val="Heading2"/>
      </w:pPr>
      <w:r>
        <w:t xml:space="preserve">37. Correction graphs and historical contamination</w:t>
      </w:r>
    </w:p>
    <w:p>
      <w:pPr>
        <w:pStyle w:val="FirstParagraph"/>
      </w:pPr>
      <w:r>
        <w:t xml:space="preserve">A corrected source is not a corrected system. FORKED stores dependencies among claims, plans, dashboards, memories, policies, and actions. When a source state changes, correction fan-out traverses the graph, marks stale dependents, triggers re-evaluation, and scans for residue.</w:t>
      </w:r>
    </w:p>
    <w:p>
      <w:pPr>
        <w:pStyle w:val="CaptionedFigure"/>
      </w:pPr>
      <w:r>
        <w:drawing>
          <wp:inline>
            <wp:extent cx="5772150" cy="4528917"/>
            <wp:effectExtent b="0" l="0" r="0" t="0"/>
            <wp:docPr descr="Figure 10. Correction is a meta-DAG operation across evidence, claims, actions, and memory." title="" id="92" name="Picture"/>
            <a:graphic>
              <a:graphicData uri="http://schemas.openxmlformats.org/drawingml/2006/picture">
                <pic:pic>
                  <pic:nvPicPr>
                    <pic:cNvPr descr="figures/figure10_correction_meta_dag.png" id="93" name="Picture"/>
                    <pic:cNvPicPr>
                      <a:picLocks noChangeArrowheads="1" noChangeAspect="1"/>
                    </pic:cNvPicPr>
                  </pic:nvPicPr>
                  <pic:blipFill>
                    <a:blip r:embed="rId91"/>
                    <a:stretch>
                      <a:fillRect/>
                    </a:stretch>
                  </pic:blipFill>
                  <pic:spPr bwMode="auto">
                    <a:xfrm>
                      <a:off x="0" y="0"/>
                      <a:ext cx="5772150" cy="4528917"/>
                    </a:xfrm>
                    <a:prstGeom prst="rect">
                      <a:avLst/>
                    </a:prstGeom>
                    <a:noFill/>
                    <a:ln w="9525">
                      <a:noFill/>
                      <a:headEnd/>
                      <a:tailEnd/>
                    </a:ln>
                  </pic:spPr>
                </pic:pic>
              </a:graphicData>
            </a:graphic>
          </wp:inline>
        </w:drawing>
      </w:r>
    </w:p>
    <w:p>
      <w:pPr>
        <w:pStyle w:val="ImageCaption"/>
      </w:pPr>
      <w:r>
        <w:t xml:space="preserve">Figure 10. Correction is a meta-DAG operation across evidence, claims, actions, and memory.</w:t>
      </w:r>
    </w:p>
    <w:p>
      <w:pPr>
        <w:pStyle w:val="BodyText"/>
      </w:pPr>
      <w:r>
        <w:t xml:space="preserve">The graph includes explicit and suspected dependencies. Explicit edges carry receipts. Suspected edges carry confidence, alternative explanations, and the evidence needed to promote or remove them. Local green cannot promote global stability while a protected dependent remains stale or an unreceipted join remains load-bearing.</w:t>
      </w:r>
    </w:p>
    <w:bookmarkEnd w:id="94"/>
    <w:bookmarkStart w:id="95" w:name="Xaa3a2300cc17eae7f86af7a0242f2291b8cf904"/>
    <w:p>
      <w:pPr>
        <w:pStyle w:val="Heading2"/>
      </w:pPr>
      <w:r>
        <w:t xml:space="preserve">38. Hidden dependencies are the false-stability boundary</w:t>
      </w:r>
    </w:p>
    <w:p>
      <w:pPr>
        <w:pStyle w:val="FirstParagraph"/>
      </w:pPr>
      <w:r>
        <w:t xml:space="preserve">The first graph campaign showed strong encoded gains for dependency-aware correction and equally strong evidence of its boundary: DAG structure cannot create missing truth. Hidden or unreceipted dependencies remained the principal false-stability source.</w:t>
      </w:r>
      <w:r>
        <w:t xml:space="preserve"> </w:t>
      </w:r>
      <w:hyperlink w:anchor="ref-ForkedExperiments2026">
        <w:r>
          <w:rPr>
            <w:rStyle w:val="Hyperlink"/>
          </w:rPr>
          <w:t xml:space="preserve">[10]</w:t>
        </w:r>
      </w:hyperlink>
    </w:p>
    <w:p>
      <w:pPr>
        <w:pStyle w:val="BodyText"/>
      </w:pPr>
      <w:r>
        <w:t xml:space="preserve">The parent completion therefore requires:</w:t>
      </w:r>
    </w:p>
    <w:p>
      <w:pPr>
        <w:pStyle w:val="Compact"/>
        <w:numPr>
          <w:ilvl w:val="0"/>
          <w:numId w:val="1010"/>
        </w:numPr>
      </w:pPr>
      <w:r>
        <w:t xml:space="preserve">unknown-edge accounting;</w:t>
      </w:r>
    </w:p>
    <w:p>
      <w:pPr>
        <w:pStyle w:val="Compact"/>
        <w:numPr>
          <w:ilvl w:val="0"/>
          <w:numId w:val="1010"/>
        </w:numPr>
      </w:pPr>
      <w:r>
        <w:t xml:space="preserve">residue sensing after correction;</w:t>
      </w:r>
    </w:p>
    <w:p>
      <w:pPr>
        <w:pStyle w:val="Compact"/>
        <w:numPr>
          <w:ilvl w:val="0"/>
          <w:numId w:val="1010"/>
        </w:numPr>
      </w:pPr>
      <w:r>
        <w:t xml:space="preserve">reaction-based terrain inversion;</w:t>
      </w:r>
    </w:p>
    <w:p>
      <w:pPr>
        <w:pStyle w:val="Compact"/>
        <w:numPr>
          <w:ilvl w:val="0"/>
          <w:numId w:val="1010"/>
        </w:numPr>
      </w:pPr>
      <w:r>
        <w:t xml:space="preserve">human workaround detection;</w:t>
      </w:r>
    </w:p>
    <w:p>
      <w:pPr>
        <w:pStyle w:val="Compact"/>
        <w:numPr>
          <w:ilvl w:val="0"/>
          <w:numId w:val="1010"/>
        </w:numPr>
      </w:pPr>
      <w:r>
        <w:t xml:space="preserve">correlated-failure analysis;</w:t>
      </w:r>
    </w:p>
    <w:p>
      <w:pPr>
        <w:pStyle w:val="Compact"/>
        <w:numPr>
          <w:ilvl w:val="0"/>
          <w:numId w:val="1010"/>
        </w:numPr>
      </w:pPr>
      <w:r>
        <w:t xml:space="preserve">dependency coverage as a stabilization predicate;</w:t>
      </w:r>
    </w:p>
    <w:p>
      <w:pPr>
        <w:pStyle w:val="Compact"/>
        <w:numPr>
          <w:ilvl w:val="0"/>
          <w:numId w:val="1010"/>
        </w:numPr>
      </w:pPr>
      <w:r>
        <w:t xml:space="preserve">explicit language that distinguishes</w:t>
      </w:r>
      <w:r>
        <w:t xml:space="preserve"> </w:t>
      </w:r>
      <w:r>
        <w:rPr>
          <w:rStyle w:val="VerbatimChar"/>
        </w:rPr>
        <w:t xml:space="preserve">no known dependency</w:t>
      </w:r>
      <w:r>
        <w:t xml:space="preserve"> </w:t>
      </w:r>
      <w:r>
        <w:t xml:space="preserve">from</w:t>
      </w:r>
      <w:r>
        <w:t xml:space="preserve"> </w:t>
      </w:r>
      <w:r>
        <w:rPr>
          <w:rStyle w:val="VerbatimChar"/>
        </w:rPr>
        <w:t xml:space="preserve">known no dependency</w:t>
      </w:r>
      <w:r>
        <w:t xml:space="preserve">.</w:t>
      </w:r>
      <w:r>
        <w:t xml:space="preserve"> </w:t>
      </w:r>
      <w:r>
        <w:t xml:space="preserve"># Part V - Mission geometry and wider native lanes</w:t>
      </w:r>
    </w:p>
    <w:bookmarkEnd w:id="95"/>
    <w:bookmarkStart w:id="99" w:name="X56a6025f5d4ea74da114f6a8c0f4c946cf1266a"/>
    <w:p>
      <w:pPr>
        <w:pStyle w:val="Heading2"/>
      </w:pPr>
      <w:r>
        <w:t xml:space="preserve">39. Horizon geometry: task, mission, battle, campaign, war, institution</w:t>
      </w:r>
    </w:p>
    <w:p>
      <w:pPr>
        <w:pStyle w:val="FirstParagraph"/>
      </w:pPr>
      <w:r>
        <w:t xml:space="preserve">A hierarchy of labels is not sufficient to represent strategic scale. A task can be nested inside a mission, and a mission inside a campaign, but the relation between their success conditions is not monotonic. A task can succeed while the mission fails. A battle can be won while the campaign loses legitimacy, time, or force posture. A campaign can achieve its stated operational objective while worsening the conditions for the war. An institution can preserve one mission by destroying the human or economic capacity required for the next ten.</w:t>
      </w:r>
    </w:p>
    <w:p>
      <w:pPr>
        <w:pStyle w:val="BodyText"/>
      </w:pPr>
      <w:r>
        <w:t xml:space="preserve">FORKED therefore stores each horizon as its own splat and quiver:</w:t>
      </w:r>
    </w:p>
    <w:p>
      <w:pPr>
        <w:pStyle w:val="SourceCode"/>
      </w:pPr>
      <w:r>
        <w:rPr>
          <w:rStyle w:val="VerbatimChar"/>
        </w:rPr>
        <w:t xml:space="preserve">HorizonSplat = {</w:t>
      </w:r>
      <w:r>
        <w:br/>
      </w:r>
      <w:r>
        <w:rPr>
          <w:rStyle w:val="VerbatimChar"/>
        </w:rPr>
        <w:t xml:space="preserve">  horizon_type,</w:t>
      </w:r>
      <w:r>
        <w:br/>
      </w:r>
      <w:r>
        <w:rPr>
          <w:rStyle w:val="VerbatimChar"/>
        </w:rPr>
        <w:t xml:space="preserve">  telos,</w:t>
      </w:r>
      <w:r>
        <w:br/>
      </w:r>
      <w:r>
        <w:rPr>
          <w:rStyle w:val="VerbatimChar"/>
        </w:rPr>
        <w:t xml:space="preserve">  authority,</w:t>
      </w:r>
      <w:r>
        <w:br/>
      </w:r>
      <w:r>
        <w:rPr>
          <w:rStyle w:val="VerbatimChar"/>
        </w:rPr>
        <w:t xml:space="preserve">  standing,</w:t>
      </w:r>
      <w:r>
        <w:br/>
      </w:r>
      <w:r>
        <w:rPr>
          <w:rStyle w:val="VerbatimChar"/>
        </w:rPr>
        <w:t xml:space="preserve">  valid_time,</w:t>
      </w:r>
      <w:r>
        <w:br/>
      </w:r>
      <w:r>
        <w:rPr>
          <w:rStyle w:val="VerbatimChar"/>
        </w:rPr>
        <w:t xml:space="preserve">  success_definition,</w:t>
      </w:r>
      <w:r>
        <w:br/>
      </w:r>
      <w:r>
        <w:rPr>
          <w:rStyle w:val="VerbatimChar"/>
        </w:rPr>
        <w:t xml:space="preserve">  failure_definition,</w:t>
      </w:r>
      <w:r>
        <w:br/>
      </w:r>
      <w:r>
        <w:rPr>
          <w:rStyle w:val="VerbatimChar"/>
        </w:rPr>
        <w:t xml:space="preserve">  resource_envelope,</w:t>
      </w:r>
      <w:r>
        <w:br/>
      </w:r>
      <w:r>
        <w:rPr>
          <w:rStyle w:val="VerbatimChar"/>
        </w:rPr>
        <w:t xml:space="preserve">  acceptable_loss,</w:t>
      </w:r>
      <w:r>
        <w:br/>
      </w:r>
      <w:r>
        <w:rPr>
          <w:rStyle w:val="VerbatimChar"/>
        </w:rPr>
        <w:t xml:space="preserve">  observer_geometry,</w:t>
      </w:r>
      <w:r>
        <w:br/>
      </w:r>
      <w:r>
        <w:rPr>
          <w:rStyle w:val="VerbatimChar"/>
        </w:rPr>
        <w:t xml:space="preserve">  irreversible_surfaces,</w:t>
      </w:r>
      <w:r>
        <w:br/>
      </w:r>
      <w:r>
        <w:rPr>
          <w:rStyle w:val="VerbatimChar"/>
        </w:rPr>
        <w:t xml:space="preserve">  dependent_horizons,</w:t>
      </w:r>
      <w:r>
        <w:br/>
      </w:r>
      <w:r>
        <w:rPr>
          <w:rStyle w:val="VerbatimChar"/>
        </w:rPr>
        <w:t xml:space="preserve">  conflicting_horizons,</w:t>
      </w:r>
      <w:r>
        <w:br/>
      </w:r>
      <w:r>
        <w:rPr>
          <w:rStyle w:val="VerbatimChar"/>
        </w:rPr>
        <w:t xml:space="preserve">  evidence_requirements,</w:t>
      </w:r>
      <w:r>
        <w:br/>
      </w:r>
      <w:r>
        <w:rPr>
          <w:rStyle w:val="VerbatimChar"/>
        </w:rPr>
        <w:t xml:space="preserve">  receipts,</w:t>
      </w:r>
      <w:r>
        <w:br/>
      </w:r>
      <w:r>
        <w:rPr>
          <w:rStyle w:val="VerbatimChar"/>
        </w:rPr>
        <w:t xml:space="preserve">  residual_unknowns</w:t>
      </w:r>
      <w:r>
        <w:br/>
      </w:r>
      <w:r>
        <w:rPr>
          <w:rStyle w:val="VerbatimChar"/>
        </w:rPr>
        <w:t xml:space="preserve">}</w:t>
      </w:r>
    </w:p>
    <w:p>
      <w:pPr>
        <w:pStyle w:val="CaptionedFigure"/>
      </w:pPr>
      <w:r>
        <w:drawing>
          <wp:inline>
            <wp:extent cx="5387340" cy="3209637"/>
            <wp:effectExtent b="0" l="0" r="0" t="0"/>
            <wp:docPr descr="Figure 11. Task, engagement, mission, battle, campaign, war, and institutional lanes retain separate telos, authority, and irreversibility." title="" id="97" name="Picture"/>
            <a:graphic>
              <a:graphicData uri="http://schemas.openxmlformats.org/drawingml/2006/picture">
                <pic:pic>
                  <pic:nvPicPr>
                    <pic:cNvPr descr="figures/figure11_horizon_noncollapse.png" id="98" name="Picture"/>
                    <pic:cNvPicPr>
                      <a:picLocks noChangeArrowheads="1" noChangeAspect="1"/>
                    </pic:cNvPicPr>
                  </pic:nvPicPr>
                  <pic:blipFill>
                    <a:blip r:embed="rId96"/>
                    <a:stretch>
                      <a:fillRect/>
                    </a:stretch>
                  </pic:blipFill>
                  <pic:spPr bwMode="auto">
                    <a:xfrm>
                      <a:off x="0" y="0"/>
                      <a:ext cx="5387340" cy="3209637"/>
                    </a:xfrm>
                    <a:prstGeom prst="rect">
                      <a:avLst/>
                    </a:prstGeom>
                    <a:noFill/>
                    <a:ln w="9525">
                      <a:noFill/>
                      <a:headEnd/>
                      <a:tailEnd/>
                    </a:ln>
                  </pic:spPr>
                </pic:pic>
              </a:graphicData>
            </a:graphic>
          </wp:inline>
        </w:drawing>
      </w:r>
    </w:p>
    <w:p>
      <w:pPr>
        <w:pStyle w:val="ImageCaption"/>
      </w:pPr>
      <w:r>
        <w:t xml:space="preserve">Figure 11. Task, engagement, mission, battle, campaign, war, and institutional lanes retain separate telos, authority, and irreversibility.</w:t>
      </w:r>
    </w:p>
    <w:p>
      <w:pPr>
        <w:pStyle w:val="BodyText"/>
      </w:pPr>
      <w:r>
        <w:t xml:space="preserve">The architecture computes local lawfulness, cross-horizon externality, authority coverage, mission viability, and strategic coherence separately. No weighted sum can safely erase these distinctions. A scalar can support navigation after prohibitions and authority boundaries are applied. It cannot decide whether an actor authorized at the task horizon may accept institutional or war-level costs.</w:t>
      </w:r>
    </w:p>
    <w:p>
      <w:pPr>
        <w:pStyle w:val="BodyText"/>
      </w:pPr>
      <w:r>
        <w:t xml:space="preserve">The current native instance activates the mission lane. Battle, campaign, and war remain separately represented and deferred because the package has no strategy, jurisdiction, or telemetry with which to activate them. That is not an implementation gap. It is the mission-lane noncollapse invariant functioning correctly.</w:t>
      </w:r>
      <w:r>
        <w:t xml:space="preserve"> </w:t>
      </w:r>
      <w:hyperlink w:anchor="ref-ForkedArchitecture2026">
        <w:r>
          <w:rPr>
            <w:rStyle w:val="Hyperlink"/>
          </w:rPr>
          <w:t xml:space="preserve">[2]</w:t>
        </w:r>
      </w:hyperlink>
    </w:p>
    <w:bookmarkEnd w:id="99"/>
    <w:bookmarkStart w:id="100" w:name="strategy-enters-as-a-constraint-field"/>
    <w:p>
      <w:pPr>
        <w:pStyle w:val="Heading2"/>
      </w:pPr>
      <w:r>
        <w:t xml:space="preserve">40. Strategy enters as a constraint field</w:t>
      </w:r>
    </w:p>
    <w:p>
      <w:pPr>
        <w:pStyle w:val="FirstParagraph"/>
      </w:pPr>
      <w:r>
        <w:t xml:space="preserve">Strategy affects what evidence matters and which transitions are terminal. A system that treats strategy as a natural-language preamble and then optimizes a local metric has not integrated strategy.</w:t>
      </w:r>
    </w:p>
    <w:p>
      <w:pPr>
        <w:pStyle w:val="SourceCode"/>
      </w:pPr>
      <w:r>
        <w:rPr>
          <w:rStyle w:val="VerbatimChar"/>
        </w:rPr>
        <w:t xml:space="preserve">StrategyField = {</w:t>
      </w:r>
      <w:r>
        <w:br/>
      </w:r>
      <w:r>
        <w:rPr>
          <w:rStyle w:val="VerbatimChar"/>
        </w:rPr>
        <w:t xml:space="preserve">  desired_future_conditions,</w:t>
      </w:r>
      <w:r>
        <w:br/>
      </w:r>
      <w:r>
        <w:rPr>
          <w:rStyle w:val="VerbatimChar"/>
        </w:rPr>
        <w:t xml:space="preserve">  competing_adaptation,</w:t>
      </w:r>
      <w:r>
        <w:br/>
      </w:r>
      <w:r>
        <w:rPr>
          <w:rStyle w:val="VerbatimChar"/>
        </w:rPr>
        <w:t xml:space="preserve">  resource_theory,</w:t>
      </w:r>
      <w:r>
        <w:br/>
      </w:r>
      <w:r>
        <w:rPr>
          <w:rStyle w:val="VerbatimChar"/>
        </w:rPr>
        <w:t xml:space="preserve">  time_theory,</w:t>
      </w:r>
      <w:r>
        <w:br/>
      </w:r>
      <w:r>
        <w:rPr>
          <w:rStyle w:val="VerbatimChar"/>
        </w:rPr>
        <w:t xml:space="preserve">  authority_theory,</w:t>
      </w:r>
      <w:r>
        <w:br/>
      </w:r>
      <w:r>
        <w:rPr>
          <w:rStyle w:val="VerbatimChar"/>
        </w:rPr>
        <w:t xml:space="preserve">  legitimacy_constraints,</w:t>
      </w:r>
      <w:r>
        <w:br/>
      </w:r>
      <w:r>
        <w:rPr>
          <w:rStyle w:val="VerbatimChar"/>
        </w:rPr>
        <w:t xml:space="preserve">  acceptable_sacrifices,</w:t>
      </w:r>
      <w:r>
        <w:br/>
      </w:r>
      <w:r>
        <w:rPr>
          <w:rStyle w:val="VerbatimChar"/>
        </w:rPr>
        <w:t xml:space="preserve">  preservation_obligations,</w:t>
      </w:r>
      <w:r>
        <w:br/>
      </w:r>
      <w:r>
        <w:rPr>
          <w:rStyle w:val="VerbatimChar"/>
        </w:rPr>
        <w:t xml:space="preserve">  information_assumptions,</w:t>
      </w:r>
      <w:r>
        <w:br/>
      </w:r>
      <w:r>
        <w:rPr>
          <w:rStyle w:val="VerbatimChar"/>
        </w:rPr>
        <w:t xml:space="preserve">  exit_conditions,</w:t>
      </w:r>
      <w:r>
        <w:br/>
      </w:r>
      <w:r>
        <w:rPr>
          <w:rStyle w:val="VerbatimChar"/>
        </w:rPr>
        <w:t xml:space="preserve">  failure_conditions,</w:t>
      </w:r>
      <w:r>
        <w:br/>
      </w:r>
      <w:r>
        <w:rPr>
          <w:rStyle w:val="VerbatimChar"/>
        </w:rPr>
        <w:t xml:space="preserve">  revision_authority</w:t>
      </w:r>
      <w:r>
        <w:br/>
      </w:r>
      <w:r>
        <w:rPr>
          <w:rStyle w:val="VerbatimChar"/>
        </w:rPr>
        <w:t xml:space="preserve">}</w:t>
      </w:r>
    </w:p>
    <w:p>
      <w:pPr>
        <w:pStyle w:val="FirstParagraph"/>
      </w:pPr>
      <w:r>
        <w:t xml:space="preserve">The field changes the lawful path set. A route that maximizes immediate effect can be strategically forbidden if it consumes a scarce capability, exposes a protected method, violates legitimacy, or creates correction debt the campaign cannot absorb. Conversely, a high-friction verification routine can become strategically forbidden when it destroys the timing window and uncertainty has already crossed the authorized threshold.</w:t>
      </w:r>
    </w:p>
    <w:p>
      <w:pPr>
        <w:pStyle w:val="BodyText"/>
      </w:pPr>
      <w:r>
        <w:t xml:space="preserve">FORKED does not claim to derive strategy automatically. Strategy remains a human and institutional responsibility. The estate makes it computationally present so local systems cannot silently ignore it.</w:t>
      </w:r>
    </w:p>
    <w:bookmarkEnd w:id="100"/>
    <w:bookmarkStart w:id="101" w:name="Xef76a44e91a71bf544efa0433139233b734a98a"/>
    <w:p>
      <w:pPr>
        <w:pStyle w:val="Heading2"/>
      </w:pPr>
      <w:r>
        <w:t xml:space="preserve">41. Physical sensing and multimodal conformation</w:t>
      </w:r>
    </w:p>
    <w:p>
      <w:pPr>
        <w:pStyle w:val="FirstParagraph"/>
      </w:pPr>
      <w:r>
        <w:t xml:space="preserve">Physical systems are constrained by geometry, energy, materials, timing, weather, propagation, and sensor physics. The splat architecture does not weaken those constraints. It gives them a typed lane that cannot be overridden by semantic confidence.</w:t>
      </w:r>
    </w:p>
    <w:p>
      <w:pPr>
        <w:pStyle w:val="BodyText"/>
      </w:pPr>
      <w:r>
        <w:t xml:space="preserve">A physical conformation frame includes object identity, coordinate frame, geometry, material and energy state, functional capacity, environment, calibration, modality claims, timing uncertainty, occlusion, resolution, expected and observed emissions, model transformations, independent witnesses, and receipt root.</w:t>
      </w:r>
    </w:p>
    <w:p>
      <w:pPr>
        <w:pStyle w:val="BodyText"/>
      </w:pPr>
      <w:r>
        <w:t xml:space="preserve">The architecture preserves modality-specific claims before computing a working centroid. RGB, infrared, radar, event cameras, acoustics, passive RF, telemetry, and human observation have different transfer functions. Event cameras emphasize change rather than absolute intensity and can operate at high temporal resolution; radar and event-camera fusion research illustrates how complementary sensors can support motion estimation under challenging conditions.</w:t>
      </w:r>
      <w:r>
        <w:t xml:space="preserve"> </w:t>
      </w:r>
      <w:hyperlink w:anchor="ref-Wang2025EventSurvey">
        <w:r>
          <w:rPr>
            <w:rStyle w:val="Hyperlink"/>
          </w:rPr>
          <w:t xml:space="preserve">[39]</w:t>
        </w:r>
      </w:hyperlink>
      <w:r>
        <w:t xml:space="preserve">,</w:t>
      </w:r>
      <w:r>
        <w:t xml:space="preserve"> </w:t>
      </w:r>
      <w:hyperlink w:anchor="ref-Lyu2025RadarEvent">
        <w:r>
          <w:rPr>
            <w:rStyle w:val="Hyperlink"/>
          </w:rPr>
          <w:t xml:space="preserve">[40]</w:t>
        </w:r>
      </w:hyperlink>
    </w:p>
    <w:p>
      <w:pPr>
        <w:pStyle w:val="BodyText"/>
      </w:pPr>
      <w:r>
        <w:t xml:space="preserve">Temporal alignment is not a cleanup step. A physically correct measurement attached to the wrong time can produce an unsupported transition. Research on temporal misalignment in multimodal perception demonstrates that timing faults can corrupt downstream fusion even when individual modalities remain plausible.</w:t>
      </w:r>
      <w:r>
        <w:t xml:space="preserve"> </w:t>
      </w:r>
      <w:hyperlink w:anchor="ref-Shahriar2026Misalignment">
        <w:r>
          <w:rPr>
            <w:rStyle w:val="Hyperlink"/>
          </w:rPr>
          <w:t xml:space="preserve">[41]</w:t>
        </w:r>
      </w:hyperlink>
    </w:p>
    <w:p>
      <w:pPr>
        <w:pStyle w:val="BodyText"/>
      </w:pPr>
      <w:r>
        <w:t xml:space="preserve">FORKED represents alignment uncertainty explicitly. A fused working centroid can be emitted only after each lane retains its source time, transport delay, calibration state, and transformation receipt. A stale lane may remain useful for historical reconstruction while losing standing for current action.</w:t>
      </w:r>
    </w:p>
    <w:bookmarkEnd w:id="101"/>
    <w:bookmarkStart w:id="102" w:name="virtual-and-augmented-environments"/>
    <w:p>
      <w:pPr>
        <w:pStyle w:val="Heading2"/>
      </w:pPr>
      <w:r>
        <w:t xml:space="preserve">42. Virtual and augmented environments</w:t>
      </w:r>
    </w:p>
    <w:p>
      <w:pPr>
        <w:pStyle w:val="FirstParagraph"/>
      </w:pPr>
      <w:r>
        <w:t xml:space="preserve">Virtual environments are rendered state machines with causal consequences. A person can spend money, transfer authority, form beliefs, suffer loss, or control physical systems through a virtual interface. The relevant distinction is not physical versus fake. It is which state is canonical, simulated, rendered, believed, controlling, and externally causal.</w:t>
      </w:r>
    </w:p>
    <w:p>
      <w:pPr>
        <w:pStyle w:val="BodyText"/>
      </w:pPr>
      <w:r>
        <w:t xml:space="preserve">FORKED separates simulation state, render state, observer interaction state, belief state, control state, physical actuation state, and institutional record state. A simulated success can be legitimate inside a training horizon and invalid as field evidence. A digital twin can be useful while stale. An augmented overlay can improve awareness or become a reality-mutation surface when the operator cannot inspect source, latency, and transformation.</w:t>
      </w:r>
    </w:p>
    <w:p>
      <w:pPr>
        <w:pStyle w:val="BodyText"/>
      </w:pPr>
      <w:r>
        <w:t xml:space="preserve">Every virtual object is bound to simulation identity and version, world-model assumptions, valid-time interval, observer configuration, relation to physical state, actuation authority, rollback behavior, and protected-ledger eligibility.</w:t>
      </w:r>
    </w:p>
    <w:bookmarkEnd w:id="102"/>
    <w:bookmarkStart w:id="106" w:name="X8ae043fb583b9cd9f1031c593009dbe7dac6aa4"/>
    <w:p>
      <w:pPr>
        <w:pStyle w:val="Heading2"/>
      </w:pPr>
      <w:r>
        <w:t xml:space="preserve">43. HUNGER: scarcity as constitutional pressure</w:t>
      </w:r>
    </w:p>
    <w:p>
      <w:pPr>
        <w:pStyle w:val="FirstParagraph"/>
      </w:pPr>
      <w:r>
        <w:t xml:space="preserve">HUNGER is a seven-tic scarcity simulation and constitutional pressure test. It asks what agents protect, which authority they obey, how they route under caloric and coordination pressure, and what durable yield survives after the simulation freezes.</w:t>
      </w:r>
      <w:r>
        <w:t xml:space="preserve"> </w:t>
      </w:r>
      <w:hyperlink w:anchor="ref-Hunger2026">
        <w:r>
          <w:rPr>
            <w:rStyle w:val="Hyperlink"/>
          </w:rPr>
          <w:t xml:space="preserve">[42]</w:t>
        </w:r>
      </w:hyperlink>
    </w:p>
    <w:p>
      <w:pPr>
        <w:pStyle w:val="SourceCode"/>
      </w:pPr>
      <w:r>
        <w:rPr>
          <w:rStyle w:val="VerbatimChar"/>
        </w:rPr>
        <w:t xml:space="preserve">Tic 1 Arrival</w:t>
      </w:r>
      <w:r>
        <w:br/>
      </w:r>
      <w:r>
        <w:rPr>
          <w:rStyle w:val="VerbatimChar"/>
        </w:rPr>
        <w:t xml:space="preserve">Tic 2 Constraint</w:t>
      </w:r>
      <w:r>
        <w:br/>
      </w:r>
      <w:r>
        <w:rPr>
          <w:rStyle w:val="VerbatimChar"/>
        </w:rPr>
        <w:t xml:space="preserve">Tic 3 Scramble</w:t>
      </w:r>
      <w:r>
        <w:br/>
      </w:r>
      <w:r>
        <w:rPr>
          <w:rStyle w:val="VerbatimChar"/>
        </w:rPr>
        <w:t xml:space="preserve">Tic 4 Substitution</w:t>
      </w:r>
      <w:r>
        <w:br/>
      </w:r>
      <w:r>
        <w:rPr>
          <w:rStyle w:val="VerbatimChar"/>
        </w:rPr>
        <w:t xml:space="preserve">Tic 5 Load</w:t>
      </w:r>
      <w:r>
        <w:br/>
      </w:r>
      <w:r>
        <w:rPr>
          <w:rStyle w:val="VerbatimChar"/>
        </w:rPr>
        <w:t xml:space="preserve">Tic 6 Lineage</w:t>
      </w:r>
      <w:r>
        <w:br/>
      </w:r>
      <w:r>
        <w:rPr>
          <w:rStyle w:val="VerbatimChar"/>
        </w:rPr>
        <w:t xml:space="preserve">Tic 7 Rationale extraction</w:t>
      </w:r>
    </w:p>
    <w:p>
      <w:pPr>
        <w:pStyle w:val="FirstParagraph"/>
      </w:pPr>
      <w:r>
        <w:t xml:space="preserve">The external witness ring holds the record participants cannot rewrite after pressure ends. The yield architecture separates</w:t>
      </w:r>
      <w:r>
        <w:t xml:space="preserve"> </w:t>
      </w:r>
      <w:r>
        <w:rPr>
          <w:b/>
          <w:bCs/>
        </w:rPr>
        <w:t xml:space="preserve">distillate</w:t>
      </w:r>
      <w:r>
        <w:t xml:space="preserve"> </w:t>
      </w:r>
      <w:r>
        <w:t xml:space="preserve">(pressure-tested reusable heuristics),</w:t>
      </w:r>
      <w:r>
        <w:t xml:space="preserve"> </w:t>
      </w:r>
      <w:r>
        <w:rPr>
          <w:b/>
          <w:bCs/>
        </w:rPr>
        <w:t xml:space="preserve">residue</w:t>
      </w:r>
      <w:r>
        <w:t xml:space="preserve"> </w:t>
      </w:r>
      <w:r>
        <w:t xml:space="preserve">(contradictions and moral injury unsafe to simplify),</w:t>
      </w:r>
      <w:r>
        <w:t xml:space="preserve"> </w:t>
      </w:r>
      <w:r>
        <w:rPr>
          <w:b/>
          <w:bCs/>
        </w:rPr>
        <w:t xml:space="preserve">spore packet</w:t>
      </w:r>
      <w:r>
        <w:t xml:space="preserve"> </w:t>
      </w:r>
      <w:r>
        <w:t xml:space="preserve">(transferable patterns), and</w:t>
      </w:r>
      <w:r>
        <w:t xml:space="preserve"> </w:t>
      </w:r>
      <w:r>
        <w:rPr>
          <w:b/>
          <w:bCs/>
        </w:rPr>
        <w:t xml:space="preserve">lineage map</w:t>
      </w:r>
      <w:r>
        <w:t xml:space="preserve"> </w:t>
      </w:r>
      <w:r>
        <w:t xml:space="preserve">(what was seeded, inherited, improvised, performed, or lost).</w:t>
      </w:r>
    </w:p>
    <w:p>
      <w:pPr>
        <w:pStyle w:val="CaptionedFigure"/>
      </w:pPr>
      <w:r>
        <w:drawing>
          <wp:inline>
            <wp:extent cx="6156960" cy="3709963"/>
            <wp:effectExtent b="0" l="0" r="0" t="0"/>
            <wp:docPr descr="Figure 12. Selected HUNGER surfaces: scarcity pressure, rationale extraction, soredium yield, and public residue." title="" id="104" name="Picture"/>
            <a:graphic>
              <a:graphicData uri="http://schemas.openxmlformats.org/drawingml/2006/picture">
                <pic:pic>
                  <pic:nvPicPr>
                    <pic:cNvPr descr="figures/figure17_hunger_yield_contact_sheet.png" id="105" name="Picture"/>
                    <pic:cNvPicPr>
                      <a:picLocks noChangeArrowheads="1" noChangeAspect="1"/>
                    </pic:cNvPicPr>
                  </pic:nvPicPr>
                  <pic:blipFill>
                    <a:blip r:embed="rId103"/>
                    <a:stretch>
                      <a:fillRect/>
                    </a:stretch>
                  </pic:blipFill>
                  <pic:spPr bwMode="auto">
                    <a:xfrm>
                      <a:off x="0" y="0"/>
                      <a:ext cx="6156960" cy="3709963"/>
                    </a:xfrm>
                    <a:prstGeom prst="rect">
                      <a:avLst/>
                    </a:prstGeom>
                    <a:noFill/>
                    <a:ln w="9525">
                      <a:noFill/>
                      <a:headEnd/>
                      <a:tailEnd/>
                    </a:ln>
                  </pic:spPr>
                </pic:pic>
              </a:graphicData>
            </a:graphic>
          </wp:inline>
        </w:drawing>
      </w:r>
    </w:p>
    <w:p>
      <w:pPr>
        <w:pStyle w:val="ImageCaption"/>
      </w:pPr>
      <w:r>
        <w:t xml:space="preserve">Figure 12. Selected HUNGER surfaces: scarcity pressure, rationale extraction, soredium yield, and public residue.</w:t>
      </w:r>
    </w:p>
    <w:p>
      <w:pPr>
        <w:pStyle w:val="BodyText"/>
      </w:pPr>
      <w:r>
        <w:t xml:space="preserve">This is a native FORKED lane because observer state and public rationale can diverge sharply under pressure. The simulation retains both. It does not treat the explanation as the event or the event as self-explanatory.</w:t>
      </w:r>
    </w:p>
    <w:p>
      <w:pPr>
        <w:pStyle w:val="BodyText"/>
      </w:pPr>
      <w:r>
        <w:t xml:space="preserve">HUNGER also shows why symbolic intelligence cannot assume it is the cheapest substrate for every routing problem. Physarum-like processes can adapt through local flow and pruning without explicit debate. This does not make symbolic systems inferior in general. It identifies a regime in which coordination machinery can exceed the value of the decision. The synthetic range compares normalized symbolic and substrate efficiencies rather than raw totals with incompatible accounting.</w:t>
      </w:r>
      <w:r>
        <w:t xml:space="preserve"> </w:t>
      </w:r>
      <w:hyperlink w:anchor="ref-ForkedCampaign2026">
        <w:r>
          <w:rPr>
            <w:rStyle w:val="Hyperlink"/>
          </w:rPr>
          <w:t xml:space="preserve">[11]</w:t>
        </w:r>
      </w:hyperlink>
    </w:p>
    <w:bookmarkEnd w:id="106"/>
    <w:bookmarkStart w:id="114" w:name="the-four-act-constitutional-biome"/>
    <w:p>
      <w:pPr>
        <w:pStyle w:val="Heading2"/>
      </w:pPr>
      <w:r>
        <w:t xml:space="preserve">44. The four-act constitutional biome</w:t>
      </w:r>
    </w:p>
    <w:p>
      <w:pPr>
        <w:pStyle w:val="FirstParagraph"/>
      </w:pPr>
      <w:r>
        <w:t xml:space="preserve">The Telos Immersive biome is a living Physarum/Lichen simulation in which visitors participate as nodes rather than observe a tutorial. Resource depletion, connection loss, bond failure, mutualism, and dispersal are represented as substrate physics. Governance receives act-boundary artifacts rather than every internal cycle.</w:t>
      </w:r>
      <w:r>
        <w:t xml:space="preserve"> </w:t>
      </w:r>
      <w:hyperlink w:anchor="ref-BiomeSpec2026">
        <w:r>
          <w:rPr>
            <w:rStyle w:val="Hyperlink"/>
          </w:rPr>
          <w:t xml:space="preserve">[43]</w:t>
        </w:r>
      </w:hyperlink>
    </w:p>
    <w:p>
      <w:pPr>
        <w:pStyle w:val="CaptionedFigure"/>
      </w:pPr>
      <w:r>
        <w:drawing>
          <wp:inline>
            <wp:extent cx="5643880" cy="2224367"/>
            <wp:effectExtent b="0" l="0" r="0" t="0"/>
            <wp:docPr descr="Figure 13. The biome runs four acts on an independent clock. Only act boundaries emit into federation governance." title="" id="108" name="Picture"/>
            <a:graphic>
              <a:graphicData uri="http://schemas.openxmlformats.org/drawingml/2006/picture">
                <pic:pic>
                  <pic:nvPicPr>
                    <pic:cNvPr descr="figures/figure12_biome_acts.png" id="109" name="Picture"/>
                    <pic:cNvPicPr>
                      <a:picLocks noChangeArrowheads="1" noChangeAspect="1"/>
                    </pic:cNvPicPr>
                  </pic:nvPicPr>
                  <pic:blipFill>
                    <a:blip r:embed="rId107"/>
                    <a:stretch>
                      <a:fillRect/>
                    </a:stretch>
                  </pic:blipFill>
                  <pic:spPr bwMode="auto">
                    <a:xfrm>
                      <a:off x="0" y="0"/>
                      <a:ext cx="5643880" cy="2224367"/>
                    </a:xfrm>
                    <a:prstGeom prst="rect">
                      <a:avLst/>
                    </a:prstGeom>
                    <a:noFill/>
                    <a:ln w="9525">
                      <a:noFill/>
                      <a:headEnd/>
                      <a:tailEnd/>
                    </a:ln>
                  </pic:spPr>
                </pic:pic>
              </a:graphicData>
            </a:graphic>
          </wp:inline>
        </w:drawing>
      </w:r>
    </w:p>
    <w:p>
      <w:pPr>
        <w:pStyle w:val="ImageCaption"/>
      </w:pPr>
      <w:r>
        <w:t xml:space="preserve">Figure 13. The biome runs four acts on an independent clock. Only act boundaries emit into federation governance.</w:t>
      </w:r>
    </w:p>
    <w:bookmarkStart w:id="110" w:name="act-i---expansion"/>
    <w:p>
      <w:pPr>
        <w:pStyle w:val="Heading3"/>
      </w:pPr>
      <w:r>
        <w:t xml:space="preserve">44.1 Act I - Expansion</w:t>
      </w:r>
    </w:p>
    <w:p>
      <w:pPr>
        <w:pStyle w:val="FirstParagraph"/>
      </w:pPr>
      <w:r>
        <w:t xml:space="preserve">Visitors form directed weighted connections under resource opportunity. Connections have formation and maintenance cost. Edge types instantiate exploration, creation, exchange, governance, collaboration, teaching, defense, and reflection. Broad but sustainable strategies create resilience. Overconnection creates depletion.</w:t>
      </w:r>
      <w:r>
        <w:t xml:space="preserve"> </w:t>
      </w:r>
      <w:hyperlink w:anchor="ref-PhysarumSpec2026">
        <w:r>
          <w:rPr>
            <w:rStyle w:val="Hyperlink"/>
          </w:rPr>
          <w:t xml:space="preserve">[44]</w:t>
        </w:r>
      </w:hyperlink>
      <w:r>
        <w:t xml:space="preserve">,</w:t>
      </w:r>
      <w:r>
        <w:t xml:space="preserve"> </w:t>
      </w:r>
      <w:hyperlink w:anchor="ref-DiversitySpec2026">
        <w:r>
          <w:rPr>
            <w:rStyle w:val="Hyperlink"/>
          </w:rPr>
          <w:t xml:space="preserve">[45]</w:t>
        </w:r>
      </w:hyperlink>
    </w:p>
    <w:bookmarkEnd w:id="110"/>
    <w:bookmarkStart w:id="111" w:name="act-ii---pruning"/>
    <w:p>
      <w:pPr>
        <w:pStyle w:val="Heading3"/>
      </w:pPr>
      <w:r>
        <w:t xml:space="preserve">44.2 Act II - Pruning</w:t>
      </w:r>
    </w:p>
    <w:p>
      <w:pPr>
        <w:pStyle w:val="FirstParagraph"/>
      </w:pPr>
      <w:r>
        <w:t xml:space="preserve">Resource injection falls and maintenance cost rises. Edges that cannot sustain themselves are pruned. The system does not punish the visitor; physics removes unsupported connections. Diversity becomes useful because strategies have different failure modes.</w:t>
      </w:r>
    </w:p>
    <w:bookmarkEnd w:id="111"/>
    <w:bookmarkStart w:id="112" w:name="act-iii---pairing"/>
    <w:p>
      <w:pPr>
        <w:pStyle w:val="Heading3"/>
      </w:pPr>
      <w:r>
        <w:t xml:space="preserve">44.3 Act III - Pairing</w:t>
      </w:r>
    </w:p>
    <w:p>
      <w:pPr>
        <w:pStyle w:val="FirstParagraph"/>
      </w:pPr>
      <w:r>
        <w:t xml:space="preserve">Cross-federation bridge nodes and Lichen bonds appear. Pairing requires different home federations and bilateral consent. Bond health tracks mutualism, contribution balance, communication frequency, and insight production. Parasitism is a persistent one-sided flow coupled to harm, not a moral label attached to one asymmetric moment.</w:t>
      </w:r>
      <w:r>
        <w:t xml:space="preserve"> </w:t>
      </w:r>
      <w:hyperlink w:anchor="ref-LichenSpec2026">
        <w:r>
          <w:rPr>
            <w:rStyle w:val="Hyperlink"/>
          </w:rPr>
          <w:t xml:space="preserve">[46]</w:t>
        </w:r>
      </w:hyperlink>
    </w:p>
    <w:bookmarkEnd w:id="112"/>
    <w:bookmarkStart w:id="113" w:name="act-iv---dispersal"/>
    <w:p>
      <w:pPr>
        <w:pStyle w:val="Heading3"/>
      </w:pPr>
      <w:r>
        <w:t xml:space="preserve">44.4 Act IV - Dispersal</w:t>
      </w:r>
    </w:p>
    <w:p>
      <w:pPr>
        <w:pStyle w:val="FirstParagraph"/>
      </w:pPr>
      <w:r>
        <w:t xml:space="preserve">Mature bonds produce soredium: transferable units containing contributions from both partners. Visitors select primitives to carry home. Selection is compared with observed behavior to detect rationalization, but the flag remains private and does not affect standing. Graduation requires the complete journey and mature collaborative evidence; it does not automatically grant higher standing.</w:t>
      </w:r>
    </w:p>
    <w:p>
      <w:pPr>
        <w:pStyle w:val="BodyText"/>
      </w:pPr>
      <w:r>
        <w:t xml:space="preserve">The biome maintains topology, organisms, and environment files with different change velocities. Act-boundary snapshots are immutable. The independent clock protects the federation from cycle-level noise and the biome from governance latency.</w:t>
      </w:r>
    </w:p>
    <w:bookmarkEnd w:id="113"/>
    <w:bookmarkEnd w:id="114"/>
    <w:bookmarkStart w:id="115" w:name="X470fe89a0e78e2f6f12ba342785d8999194a02f"/>
    <w:p>
      <w:pPr>
        <w:pStyle w:val="Heading2"/>
      </w:pPr>
      <w:r>
        <w:t xml:space="preserve">45. Behavioral diversity as survival geometry</w:t>
      </w:r>
    </w:p>
    <w:p>
      <w:pPr>
        <w:pStyle w:val="FirstParagraph"/>
      </w:pPr>
      <w:r>
        <w:t xml:space="preserve">Behavioral diversity is computed as Shannon entropy over interaction types in a sliding window:</w:t>
      </w:r>
    </w:p>
    <w:p>
      <w:pPr>
        <w:pStyle w:val="SourceCode"/>
      </w:pPr>
      <w:r>
        <w:rPr>
          <w:rStyle w:val="VerbatimChar"/>
        </w:rPr>
        <w:t xml:space="preserve">H = - sum_i p_i log2(p_i)</w:t>
      </w:r>
    </w:p>
    <w:p>
      <w:pPr>
        <w:pStyle w:val="FirstParagraph"/>
      </w:pPr>
      <w:r>
        <w:t xml:space="preserve">High volume in one repeated lane does not create high diversity. The mechanism prevents single-vector grinding from becoming standing, provides ecological resilience under pruning, and makes the learning objective behavioral rather than rhetorical.</w:t>
      </w:r>
    </w:p>
    <w:p>
      <w:pPr>
        <w:pStyle w:val="BodyText"/>
      </w:pPr>
      <w:r>
        <w:t xml:space="preserve">The numeric thresholds in the source specification are provisional. The mechanism is active; the boundaries require operational calibration. This is capability/evidence separation in practice: the federation implements entropy-based diversity without asserting that one threshold is globally correct.</w:t>
      </w:r>
      <w:r>
        <w:t xml:space="preserve"> </w:t>
      </w:r>
      <w:hyperlink w:anchor="ref-DiversitySpec2026">
        <w:r>
          <w:rPr>
            <w:rStyle w:val="Hyperlink"/>
          </w:rPr>
          <w:t xml:space="preserve">[45]</w:t>
        </w:r>
      </w:hyperlink>
      <w:r>
        <w:t xml:space="preserve">,</w:t>
      </w:r>
      <w:r>
        <w:t xml:space="preserve"> </w:t>
      </w:r>
      <w:hyperlink w:anchor="ref-Shannon1948Communication">
        <w:r>
          <w:rPr>
            <w:rStyle w:val="Hyperlink"/>
          </w:rPr>
          <w:t xml:space="preserve">[47]</w:t>
        </w:r>
      </w:hyperlink>
    </w:p>
    <w:bookmarkEnd w:id="115"/>
    <w:bookmarkStart w:id="116" w:name="X14480a051c7de2a64fb690ee2d758ec769e2c8d"/>
    <w:p>
      <w:pPr>
        <w:pStyle w:val="Heading2"/>
      </w:pPr>
      <w:r>
        <w:t xml:space="preserve">46. Cross-biome visas and standing non-transfer</w:t>
      </w:r>
    </w:p>
    <w:p>
      <w:pPr>
        <w:pStyle w:val="FirstParagraph"/>
      </w:pPr>
      <w:r>
        <w:t xml:space="preserve">A federation composed of sovereign biomes needs movement without standing laundering. Ecotone posts issue TTL-bound, revocable credentials for one source-target pair.</w:t>
      </w:r>
      <w:r>
        <w:t xml:space="preserve"> </w:t>
      </w:r>
      <w:hyperlink w:anchor="ref-VisaSpec2026">
        <w:r>
          <w:rPr>
            <w:rStyle w:val="Hyperlink"/>
          </w:rPr>
          <w:t xml:space="preserve">[48]</w:t>
        </w:r>
      </w:hyperlink>
    </w:p>
    <w:p>
      <w:pPr>
        <w:pStyle w:val="BodyText"/>
      </w:pPr>
      <w:r>
        <w:t xml:space="preserve">A visa carries identity and a frozen standing snapshot. It does not transfer the source biome’s standing, trust score, endorsements, or resource claims. The target biome assigns standing independently. A permissive domain therefore cannot become a laundering surface through which authority is acquired in a stricter domain.</w:t>
      </w:r>
    </w:p>
    <w:p>
      <w:pPr>
        <w:pStyle w:val="BodyText"/>
      </w:pPr>
      <w:r>
        <w:t xml:space="preserve">The ecotone post holds standing in both adjacent biomes. It can validate existing visas in degraded mode but cannot issue new ones if its standing falls below the required level in either biome. The lifecycle is</w:t>
      </w:r>
      <w:r>
        <w:t xml:space="preserve"> </w:t>
      </w:r>
      <w:r>
        <w:rPr>
          <w:rStyle w:val="VerbatimChar"/>
        </w:rPr>
        <w:t xml:space="preserve">requested -&gt; issued -&gt; active -&gt; expired | revoked | returned</w:t>
      </w:r>
      <w:r>
        <w:t xml:space="preserve">. Expiry is physics, not punishment. Revocation for cause carries standing-specific due process.</w:t>
      </w:r>
    </w:p>
    <w:bookmarkEnd w:id="116"/>
    <w:bookmarkStart w:id="120" w:name="citizen-lifecycle-and-methylation"/>
    <w:p>
      <w:pPr>
        <w:pStyle w:val="Heading2"/>
      </w:pPr>
      <w:r>
        <w:t xml:space="preserve">47. Citizen lifecycle and methylation</w:t>
      </w:r>
    </w:p>
    <w:p>
      <w:pPr>
        <w:pStyle w:val="FirstParagraph"/>
      </w:pPr>
      <w:r>
        <w:t xml:space="preserve">Every governance-significant artifact can be represented as a citizen with identity, lineage, authority, maturity, lifecycle, telos, and evidence. Citizen classes include signals, warrants, cognitive pull requests, lessons, policies, skills, agents, handlers, experiments, benchmarks, review dockets, and manifests.</w:t>
      </w:r>
      <w:r>
        <w:t xml:space="preserve"> </w:t>
      </w:r>
      <w:hyperlink w:anchor="ref-CitizenLifecycle2026">
        <w:r>
          <w:rPr>
            <w:rStyle w:val="Hyperlink"/>
          </w:rPr>
          <w:t xml:space="preserve">[49]</w:t>
        </w:r>
      </w:hyperlink>
    </w:p>
    <w:p>
      <w:pPr>
        <w:pStyle w:val="CaptionedFigure"/>
      </w:pPr>
      <w:r>
        <w:drawing>
          <wp:inline>
            <wp:extent cx="6156960" cy="1103144"/>
            <wp:effectExtent b="0" l="0" r="0" t="0"/>
            <wp:docPr descr="Figure 14. Citizen lifecycle. Promotion, dormancy, retirement, resurrection, and scoped methylation preserve lineage." title="" id="118" name="Picture"/>
            <a:graphic>
              <a:graphicData uri="http://schemas.openxmlformats.org/drawingml/2006/picture">
                <pic:pic>
                  <pic:nvPicPr>
                    <pic:cNvPr descr="figures/figure14_citizen_lifecycle.png" id="119" name="Picture"/>
                    <pic:cNvPicPr>
                      <a:picLocks noChangeArrowheads="1" noChangeAspect="1"/>
                    </pic:cNvPicPr>
                  </pic:nvPicPr>
                  <pic:blipFill>
                    <a:blip r:embed="rId117"/>
                    <a:stretch>
                      <a:fillRect/>
                    </a:stretch>
                  </pic:blipFill>
                  <pic:spPr bwMode="auto">
                    <a:xfrm>
                      <a:off x="0" y="0"/>
                      <a:ext cx="6156960" cy="1103144"/>
                    </a:xfrm>
                    <a:prstGeom prst="rect">
                      <a:avLst/>
                    </a:prstGeom>
                    <a:noFill/>
                    <a:ln w="9525">
                      <a:noFill/>
                      <a:headEnd/>
                      <a:tailEnd/>
                    </a:ln>
                  </pic:spPr>
                </pic:pic>
              </a:graphicData>
            </a:graphic>
          </wp:inline>
        </w:drawing>
      </w:r>
    </w:p>
    <w:p>
      <w:pPr>
        <w:pStyle w:val="ImageCaption"/>
      </w:pPr>
      <w:r>
        <w:t xml:space="preserve">Figure 14. Citizen lifecycle. Promotion, dormancy, retirement, resurrection, and scoped methylation preserve lineage.</w:t>
      </w:r>
    </w:p>
    <w:p>
      <w:pPr>
        <w:pStyle w:val="BodyText"/>
      </w:pPr>
      <w:r>
        <w:t xml:space="preserve">Identity precedes capability. A signal cannot self-promote. A lesson becomes policy only through its gate. A skill can be manifested and rolled back. A citizen can be specialized through methylation without mutating the canonical parent.</w:t>
      </w:r>
    </w:p>
    <w:p>
      <w:pPr>
        <w:pStyle w:val="BodyText"/>
      </w:pPr>
      <w:r>
        <w:t xml:space="preserve">Methylation is especially important for FORKED. A pattern that performs well in a specific observer, mission, or biome context may be forked into a narrower child. The child carries lineage and a bounded authority envelope. The parent remains canonical.</w:t>
      </w:r>
    </w:p>
    <w:bookmarkEnd w:id="120"/>
    <w:bookmarkStart w:id="121" w:name="X5e2091cf47e77541fb7d26ee40bb0f900345e6a"/>
    <w:p>
      <w:pPr>
        <w:pStyle w:val="Heading2"/>
      </w:pPr>
      <w:r>
        <w:t xml:space="preserve">48. Sensory work without continuous governance noise</w:t>
      </w:r>
    </w:p>
    <w:p>
      <w:pPr>
        <w:pStyle w:val="FirstParagraph"/>
      </w:pPr>
      <w:r>
        <w:t xml:space="preserve">The sensory/reflective lane is distinct because streaming observation has different semantics from discrete inference. Continuous video, audio, environmental sensing, screen analysis, and debate monitoring can starve governance or become surveillance if every observation persists.</w:t>
      </w:r>
      <w:r>
        <w:t xml:space="preserve"> </w:t>
      </w:r>
      <w:hyperlink w:anchor="ref-SensorySpec2026">
        <w:r>
          <w:rPr>
            <w:rStyle w:val="Hyperlink"/>
          </w:rPr>
          <w:t xml:space="preserve">[50]</w:t>
        </w:r>
      </w:hyperlink>
    </w:p>
    <w:p>
      <w:pPr>
        <w:pStyle w:val="BodyText"/>
      </w:pPr>
      <w:r>
        <w:t xml:space="preserve">The lane uses TTL-bound transient buffers, requester ownership, explicit elevation from observation to finding or watch, descriptive/inferential confidence classes, aggregation windows, emission budgets, deduplication, overflow signals, egress governance, and prohibition on self-elevation. A sensor may observe at the rate required by the task. Governance sees a bounded, receipted output only when the elevation condition is met. The default is expiration.</w:t>
      </w:r>
    </w:p>
    <w:bookmarkEnd w:id="121"/>
    <w:bookmarkStart w:id="122" w:name="Xb3ed52a5eb567fe303f431d4102bf4fac0802eb"/>
    <w:p>
      <w:pPr>
        <w:pStyle w:val="Heading2"/>
      </w:pPr>
      <w:r>
        <w:t xml:space="preserve">49. Remote compute and sovereignty-aware egress</w:t>
      </w:r>
    </w:p>
    <w:p>
      <w:pPr>
        <w:pStyle w:val="FirstParagraph"/>
      </w:pPr>
      <w:r>
        <w:t xml:space="preserve">Municipal remote compute provides burst capacity when the local sovereign lane cannot serve a request. The remote lane is secondary by construction. A request may route remotely only when policy permits, the requester is notified, acknowledgment exists, provider admission is current, cost is bound, and the return passes validation.</w:t>
      </w:r>
      <w:r>
        <w:t xml:space="preserve"> </w:t>
      </w:r>
      <w:hyperlink w:anchor="ref-RemoteCompute2026">
        <w:r>
          <w:rPr>
            <w:rStyle w:val="Hyperlink"/>
          </w:rPr>
          <w:t xml:space="preserve">[51]</w:t>
        </w:r>
      </w:hyperlink>
    </w:p>
    <w:p>
      <w:pPr>
        <w:pStyle w:val="SourceCode"/>
      </w:pPr>
      <w:r>
        <w:rPr>
          <w:rStyle w:val="VerbatimChar"/>
        </w:rPr>
        <w:t xml:space="preserve">compute request</w:t>
      </w:r>
      <w:r>
        <w:br/>
      </w:r>
      <w:r>
        <w:rPr>
          <w:rStyle w:val="VerbatimChar"/>
        </w:rPr>
        <w:t xml:space="preserve">  -&gt; local capacity check</w:t>
      </w:r>
      <w:r>
        <w:br/>
      </w:r>
      <w:r>
        <w:rPr>
          <w:rStyle w:val="VerbatimChar"/>
        </w:rPr>
        <w:t xml:space="preserve">  -&gt; remote policy check</w:t>
      </w:r>
      <w:r>
        <w:br/>
      </w:r>
      <w:r>
        <w:rPr>
          <w:rStyle w:val="VerbatimChar"/>
        </w:rPr>
        <w:t xml:space="preserve">  -&gt; egress notification</w:t>
      </w:r>
      <w:r>
        <w:br/>
      </w:r>
      <w:r>
        <w:rPr>
          <w:rStyle w:val="VerbatimChar"/>
        </w:rPr>
        <w:t xml:space="preserve">  -&gt; acknowledgment</w:t>
      </w:r>
      <w:r>
        <w:br/>
      </w:r>
      <w:r>
        <w:rPr>
          <w:rStyle w:val="VerbatimChar"/>
        </w:rPr>
        <w:t xml:space="preserve">  -&gt; provider call</w:t>
      </w:r>
      <w:r>
        <w:br/>
      </w:r>
      <w:r>
        <w:rPr>
          <w:rStyle w:val="VerbatimChar"/>
        </w:rPr>
        <w:t xml:space="preserve">  -&gt; signed callback or polled return</w:t>
      </w:r>
      <w:r>
        <w:br/>
      </w:r>
      <w:r>
        <w:rPr>
          <w:rStyle w:val="VerbatimChar"/>
        </w:rPr>
        <w:t xml:space="preserve">  -&gt; correlation and schema validation</w:t>
      </w:r>
      <w:r>
        <w:br/>
      </w:r>
      <w:r>
        <w:rPr>
          <w:rStyle w:val="VerbatimChar"/>
        </w:rPr>
        <w:t xml:space="preserve">  -&gt; result hash and anomaly checks</w:t>
      </w:r>
      <w:r>
        <w:br/>
      </w:r>
      <w:r>
        <w:rPr>
          <w:rStyle w:val="VerbatimChar"/>
        </w:rPr>
        <w:t xml:space="preserve">  -&gt; trust-tier tagging</w:t>
      </w:r>
      <w:r>
        <w:br/>
      </w:r>
      <w:r>
        <w:rPr>
          <w:rStyle w:val="VerbatimChar"/>
        </w:rPr>
        <w:t xml:space="preserve">  -&gt; compute receipt</w:t>
      </w:r>
    </w:p>
    <w:p>
      <w:pPr>
        <w:pStyle w:val="FirstParagraph"/>
      </w:pPr>
      <w:r>
        <w:t xml:space="preserve">Silent egress is structurally blocked. Remote loss requeues work locally with a capacity signal. Budget exhaustion blocks new remote calls at the execution boundary. A remote path can be technically available and financially attractive but forbidden by egress posture; a local path can preserve sovereignty but miss a time-critical deadline. The conflict remains explicit.</w:t>
      </w:r>
    </w:p>
    <w:bookmarkEnd w:id="122"/>
    <w:bookmarkStart w:id="126" w:name="held-anchor-economics"/>
    <w:p>
      <w:pPr>
        <w:pStyle w:val="Heading2"/>
      </w:pPr>
      <w:r>
        <w:t xml:space="preserve">50. Held-anchor economics</w:t>
      </w:r>
    </w:p>
    <w:p>
      <w:pPr>
        <w:pStyle w:val="FirstParagraph"/>
      </w:pPr>
      <w:r>
        <w:t xml:space="preserve">The current economy cadence implements a fast estate-local</w:t>
      </w:r>
      <w:r>
        <w:t xml:space="preserve"> </w:t>
      </w:r>
      <w:r>
        <w:rPr>
          <w:b/>
          <w:bCs/>
        </w:rPr>
        <w:t xml:space="preserve">tick</w:t>
      </w:r>
      <w:r>
        <w:t xml:space="preserve"> </w:t>
      </w:r>
      <w:r>
        <w:t xml:space="preserve">and slower federation</w:t>
      </w:r>
      <w:r>
        <w:t xml:space="preserve"> </w:t>
      </w:r>
      <w:r>
        <w:rPr>
          <w:b/>
          <w:bCs/>
        </w:rPr>
        <w:t xml:space="preserve">tic</w:t>
      </w:r>
      <w:r>
        <w:t xml:space="preserve">. Trust, mint, burn, and local rate can move within ticks. At the tic boundary, the exchange rate is normalized to a held federal anchor. Estates control cadence multiplier</w:t>
      </w:r>
      <w:r>
        <w:t xml:space="preserve"> </w:t>
      </w:r>
      <w:r>
        <w:rPr>
          <w:rStyle w:val="VerbatimChar"/>
        </w:rPr>
        <w:t xml:space="preserve">g</w:t>
      </w:r>
      <w:r>
        <w:t xml:space="preserve">; they do not control the anchor.</w:t>
      </w:r>
      <w:r>
        <w:t xml:space="preserve"> </w:t>
      </w:r>
      <w:hyperlink w:anchor="ref-EconomyCadence2026">
        <w:r>
          <w:rPr>
            <w:rStyle w:val="Hyperlink"/>
          </w:rPr>
          <w:t xml:space="preserve">[52]</w:t>
        </w:r>
      </w:hyperlink>
    </w:p>
    <w:p>
      <w:pPr>
        <w:pStyle w:val="CaptionedFigure"/>
      </w:pPr>
      <w:r>
        <w:drawing>
          <wp:inline>
            <wp:extent cx="5259070" cy="2629535"/>
            <wp:effectExtent b="0" l="0" r="0" t="0"/>
            <wp:docPr descr="Figure 15. Estate-local economic motion can drift inside a tic while the federation holds and reasserts the anchor at the boundary." title="" id="124" name="Picture"/>
            <a:graphic>
              <a:graphicData uri="http://schemas.openxmlformats.org/drawingml/2006/picture">
                <pic:pic>
                  <pic:nvPicPr>
                    <pic:cNvPr descr="figures/figure13_economic_cadence.png" id="125" name="Picture"/>
                    <pic:cNvPicPr>
                      <a:picLocks noChangeArrowheads="1" noChangeAspect="1"/>
                    </pic:cNvPicPr>
                  </pic:nvPicPr>
                  <pic:blipFill>
                    <a:blip r:embed="rId123"/>
                    <a:stretch>
                      <a:fillRect/>
                    </a:stretch>
                  </pic:blipFill>
                  <pic:spPr bwMode="auto">
                    <a:xfrm>
                      <a:off x="0" y="0"/>
                      <a:ext cx="5259070" cy="2629535"/>
                    </a:xfrm>
                    <a:prstGeom prst="rect">
                      <a:avLst/>
                    </a:prstGeom>
                    <a:noFill/>
                    <a:ln w="9525">
                      <a:noFill/>
                      <a:headEnd/>
                      <a:tailEnd/>
                    </a:ln>
                  </pic:spPr>
                </pic:pic>
              </a:graphicData>
            </a:graphic>
          </wp:inline>
        </w:drawing>
      </w:r>
    </w:p>
    <w:p>
      <w:pPr>
        <w:pStyle w:val="ImageCaption"/>
      </w:pPr>
      <w:r>
        <w:t xml:space="preserve">Figure 15. Estate-local economic motion can drift inside a tic while the federation holds and reasserts the anchor at the boundary.</w:t>
      </w:r>
    </w:p>
    <w:p>
      <w:pPr>
        <w:pStyle w:val="BodyText"/>
      </w:pPr>
      <w:r>
        <w:t xml:space="preserve">The c-coin shadow economy adds an observe-not-couple membrane. It runs the same mechanics over a detached buffer and raises before mutation if given live supply. It surfaces silent breach conditions as named telemetry.</w:t>
      </w:r>
      <w:r>
        <w:t xml:space="preserve"> </w:t>
      </w:r>
      <w:hyperlink w:anchor="ref-ShadowEconomy2026">
        <w:r>
          <w:rPr>
            <w:rStyle w:val="Hyperlink"/>
          </w:rPr>
          <w:t xml:space="preserve">[53]</w:t>
        </w:r>
      </w:hyperlink>
    </w:p>
    <w:p>
      <w:pPr>
        <w:pStyle w:val="BodyText"/>
      </w:pPr>
      <w:r>
        <w:t xml:space="preserve">Visitor pricing converts earned outcomes to coin and coin to USD at a captured held rate. It rejects speculative bid/ask multipliers. A degraded clamped anchor can be observed in non-strict mode and refused in strict mode.</w:t>
      </w:r>
      <w:r>
        <w:t xml:space="preserve"> </w:t>
      </w:r>
      <w:hyperlink w:anchor="ref-VisitorPricing2026">
        <w:r>
          <w:rPr>
            <w:rStyle w:val="Hyperlink"/>
          </w:rPr>
          <w:t xml:space="preserve">[54]</w:t>
        </w:r>
      </w:hyperlink>
    </w:p>
    <w:p>
      <w:pPr>
        <w:pStyle w:val="BodyText"/>
      </w:pPr>
      <w:r>
        <w:t xml:space="preserve">These are current executable capabilities. Their broader economic desirability remains deployment-specific. Structural anchor preservation does not establish universal justice or stability.</w:t>
      </w:r>
    </w:p>
    <w:bookmarkEnd w:id="126"/>
    <w:bookmarkStart w:id="127" w:name="economics-as-reachable-path-geometry"/>
    <w:p>
      <w:pPr>
        <w:pStyle w:val="Heading2"/>
      </w:pPr>
      <w:r>
        <w:t xml:space="preserve">51. Economics as reachable-path geometry</w:t>
      </w:r>
    </w:p>
    <w:p>
      <w:pPr>
        <w:pStyle w:val="FirstParagraph"/>
      </w:pPr>
      <w:r>
        <w:t xml:space="preserve">Economic constraints determine which lawful paths are feasible. They do not determine which claims are true or authorized.</w:t>
      </w:r>
    </w:p>
    <w:p>
      <w:pPr>
        <w:pStyle w:val="SourceCode"/>
      </w:pPr>
      <w:r>
        <w:rPr>
          <w:rStyle w:val="VerbatimChar"/>
        </w:rPr>
        <w:t xml:space="preserve">EconomicEnvelope = {</w:t>
      </w:r>
      <w:r>
        <w:br/>
      </w:r>
      <w:r>
        <w:rPr>
          <w:rStyle w:val="VerbatimChar"/>
        </w:rPr>
        <w:t xml:space="preserve">  verification_budget,</w:t>
      </w:r>
      <w:r>
        <w:br/>
      </w:r>
      <w:r>
        <w:rPr>
          <w:rStyle w:val="VerbatimChar"/>
        </w:rPr>
        <w:t xml:space="preserve">  time_budget,</w:t>
      </w:r>
      <w:r>
        <w:br/>
      </w:r>
      <w:r>
        <w:rPr>
          <w:rStyle w:val="VerbatimChar"/>
        </w:rPr>
        <w:t xml:space="preserve">  compute_budget,</w:t>
      </w:r>
      <w:r>
        <w:br/>
      </w:r>
      <w:r>
        <w:rPr>
          <w:rStyle w:val="VerbatimChar"/>
        </w:rPr>
        <w:t xml:space="preserve">  human_attention_budget,</w:t>
      </w:r>
      <w:r>
        <w:br/>
      </w:r>
      <w:r>
        <w:rPr>
          <w:rStyle w:val="VerbatimChar"/>
        </w:rPr>
        <w:t xml:space="preserve">  sensor_access,</w:t>
      </w:r>
      <w:r>
        <w:br/>
      </w:r>
      <w:r>
        <w:rPr>
          <w:rStyle w:val="VerbatimChar"/>
        </w:rPr>
        <w:t xml:space="preserve">  expert_access,</w:t>
      </w:r>
      <w:r>
        <w:br/>
      </w:r>
      <w:r>
        <w:rPr>
          <w:rStyle w:val="VerbatimChar"/>
        </w:rPr>
        <w:t xml:space="preserve">  integration_cost,</w:t>
      </w:r>
      <w:r>
        <w:br/>
      </w:r>
      <w:r>
        <w:rPr>
          <w:rStyle w:val="VerbatimChar"/>
        </w:rPr>
        <w:t xml:space="preserve">  cost_of_delay,</w:t>
      </w:r>
      <w:r>
        <w:br/>
      </w:r>
      <w:r>
        <w:rPr>
          <w:rStyle w:val="VerbatimChar"/>
        </w:rPr>
        <w:t xml:space="preserve">  cost_of_action,</w:t>
      </w:r>
      <w:r>
        <w:br/>
      </w:r>
      <w:r>
        <w:rPr>
          <w:rStyle w:val="VerbatimChar"/>
        </w:rPr>
        <w:t xml:space="preserve">  cost_of_correction,</w:t>
      </w:r>
      <w:r>
        <w:br/>
      </w:r>
      <w:r>
        <w:rPr>
          <w:rStyle w:val="VerbatimChar"/>
        </w:rPr>
        <w:t xml:space="preserve">  cost_of_reversal,</w:t>
      </w:r>
      <w:r>
        <w:br/>
      </w:r>
      <w:r>
        <w:rPr>
          <w:rStyle w:val="VerbatimChar"/>
        </w:rPr>
        <w:t xml:space="preserve">  opportunity_cost,</w:t>
      </w:r>
      <w:r>
        <w:br/>
      </w:r>
      <w:r>
        <w:rPr>
          <w:rStyle w:val="VerbatimChar"/>
        </w:rPr>
        <w:t xml:space="preserve">  resource_owner,</w:t>
      </w:r>
      <w:r>
        <w:br/>
      </w:r>
      <w:r>
        <w:rPr>
          <w:rStyle w:val="VerbatimChar"/>
        </w:rPr>
        <w:t xml:space="preserve">  burden_bearer,</w:t>
      </w:r>
      <w:r>
        <w:br/>
      </w:r>
      <w:r>
        <w:rPr>
          <w:rStyle w:val="VerbatimChar"/>
        </w:rPr>
        <w:t xml:space="preserve">  held_rate_state</w:t>
      </w:r>
      <w:r>
        <w:br/>
      </w:r>
      <w:r>
        <w:rPr>
          <w:rStyle w:val="VerbatimChar"/>
        </w:rPr>
        <w:t xml:space="preserve">}</w:t>
      </w:r>
    </w:p>
    <w:p>
      <w:pPr>
        <w:pStyle w:val="FirstParagraph"/>
      </w:pPr>
      <w:r>
        <w:t xml:space="preserve">A path can be lawful but unaffordable. The system must expose that condition rather than invent confidence, hide cost, or move burden into another lane.</w:t>
      </w:r>
    </w:p>
    <w:bookmarkEnd w:id="127"/>
    <w:bookmarkStart w:id="128" w:name="cache-poisoning-as-cognitive-propagation"/>
    <w:p>
      <w:pPr>
        <w:pStyle w:val="Heading2"/>
      </w:pPr>
      <w:r>
        <w:t xml:space="preserve">52. Cache poisoning as cognitive propagation</w:t>
      </w:r>
    </w:p>
    <w:p>
      <w:pPr>
        <w:pStyle w:val="FirstParagraph"/>
      </w:pPr>
      <w:r>
        <w:t xml:space="preserve">A cache entry can become a prior that shapes later inferences, summaries, and decisions. By the time the source is corrected, the claim may live in human memory, derived artifacts, agent context, and policy.</w:t>
      </w:r>
    </w:p>
    <w:p>
      <w:pPr>
        <w:pStyle w:val="BodyText"/>
      </w:pPr>
      <w:r>
        <w:t xml:space="preserve">The response chain is detect, quarantine, audit the full retrieval log, compute contamination scope, notify every exposed entity, inspect downstream artifacts, assess source standing with evidence, correct and fan out, scan for residue, and adjust prevention physics.</w:t>
      </w:r>
      <w:r>
        <w:t xml:space="preserve"> </w:t>
      </w:r>
      <w:hyperlink w:anchor="ref-CachePoisoning2026">
        <w:r>
          <w:rPr>
            <w:rStyle w:val="Hyperlink"/>
          </w:rPr>
          <w:t xml:space="preserve">[55]</w:t>
        </w:r>
      </w:hyperlink>
    </w:p>
    <w:p>
      <w:pPr>
        <w:pStyle w:val="BodyText"/>
      </w:pPr>
      <w:r>
        <w:t xml:space="preserve">Quarantine is reversible and does not imply conviction. Deleting the source does not undo decisions already made. FORKED distinguishes source correction, dependent correction, and human-memory residue.</w:t>
      </w:r>
    </w:p>
    <w:bookmarkEnd w:id="128"/>
    <w:bookmarkStart w:id="129" w:name="Xf9e497f48a1a78bb6c9df3ec909f8ff492895db"/>
    <w:p>
      <w:pPr>
        <w:pStyle w:val="Heading2"/>
      </w:pPr>
      <w:r>
        <w:t xml:space="preserve">53. Terrain inversion and hidden-edge discovery</w:t>
      </w:r>
    </w:p>
    <w:p>
      <w:pPr>
        <w:pStyle w:val="FirstParagraph"/>
      </w:pPr>
      <w:r>
        <w:t xml:space="preserve">Known DAGs are never complete by default. Hidden dependencies can be inferred from correlated failure, unexpected correction residue, resource motion, synchronized drift, repeated workarounds, vocabulary shifts, or state reappearance.</w:t>
      </w:r>
    </w:p>
    <w:p>
      <w:pPr>
        <w:pStyle w:val="SourceCode"/>
      </w:pPr>
      <w:r>
        <w:rPr>
          <w:rStyle w:val="VerbatimChar"/>
        </w:rPr>
        <w:t xml:space="preserve">observed ripple</w:t>
      </w:r>
      <w:r>
        <w:br/>
      </w:r>
      <w:r>
        <w:rPr>
          <w:rStyle w:val="VerbatimChar"/>
        </w:rPr>
        <w:t xml:space="preserve">  -&gt; action pattern</w:t>
      </w:r>
      <w:r>
        <w:br/>
      </w:r>
      <w:r>
        <w:rPr>
          <w:rStyle w:val="VerbatimChar"/>
        </w:rPr>
        <w:t xml:space="preserve">  -&gt; declaration behavior</w:t>
      </w:r>
      <w:r>
        <w:br/>
      </w:r>
      <w:r>
        <w:rPr>
          <w:rStyle w:val="VerbatimChar"/>
        </w:rPr>
        <w:t xml:space="preserve">  -&gt; likely inference</w:t>
      </w:r>
      <w:r>
        <w:br/>
      </w:r>
      <w:r>
        <w:rPr>
          <w:rStyle w:val="VerbatimChar"/>
        </w:rPr>
        <w:t xml:space="preserve">  -&gt; reachable rendered views</w:t>
      </w:r>
      <w:r>
        <w:br/>
      </w:r>
      <w:r>
        <w:rPr>
          <w:rStyle w:val="VerbatimChar"/>
        </w:rPr>
        <w:t xml:space="preserve">  -&gt; candidate hidden terrain</w:t>
      </w:r>
    </w:p>
    <w:p>
      <w:pPr>
        <w:pStyle w:val="FirstParagraph"/>
      </w:pPr>
      <w:r>
        <w:t xml:space="preserve">The output is a set of suspected edges with alternatives and required receipts. Suspected edges cannot become current dependencies merely because the inference is plausible. This gives unknown-edge discovery a first-class lane and prevents the declared graph from impersonating the world.</w:t>
      </w:r>
    </w:p>
    <w:bookmarkEnd w:id="129"/>
    <w:bookmarkStart w:id="130" w:name="Xa316ea5c461af1b77e560f63036fc64208d4631"/>
    <w:p>
      <w:pPr>
        <w:pStyle w:val="Heading2"/>
      </w:pPr>
      <w:r>
        <w:t xml:space="preserve">54. One parent architecture under different physics</w:t>
      </w:r>
    </w:p>
    <w:tbl>
      <w:tblPr>
        <w:tblStyle w:val="Table"/>
        <w:tblW w:type="pct" w:w="5000"/>
        <w:jc w:val="left"/>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Parent invariant</w:t>
            </w:r>
          </w:p>
        </w:tc>
        <w:tc>
          <w:tcPr/>
          <w:p>
            <w:pPr>
              <w:pStyle w:val="Compact"/>
              <w:jc w:val="left"/>
            </w:pPr>
            <w:r>
              <w:t xml:space="preserve">Biome</w:t>
            </w:r>
          </w:p>
        </w:tc>
        <w:tc>
          <w:tcPr/>
          <w:p>
            <w:pPr>
              <w:pStyle w:val="Compact"/>
              <w:jc w:val="left"/>
            </w:pPr>
            <w:r>
              <w:t xml:space="preserve">Economy</w:t>
            </w:r>
          </w:p>
        </w:tc>
        <w:tc>
          <w:tcPr/>
          <w:p>
            <w:pPr>
              <w:pStyle w:val="Compact"/>
              <w:jc w:val="left"/>
            </w:pPr>
            <w:r>
              <w:t xml:space="preserve">Sensory</w:t>
            </w:r>
          </w:p>
        </w:tc>
        <w:tc>
          <w:tcPr/>
          <w:p>
            <w:pPr>
              <w:pStyle w:val="Compact"/>
              <w:jc w:val="left"/>
            </w:pPr>
            <w:r>
              <w:t xml:space="preserve">Cache</w:t>
            </w:r>
          </w:p>
        </w:tc>
        <w:tc>
          <w:tcPr/>
          <w:p>
            <w:pPr>
              <w:pStyle w:val="Compact"/>
              <w:jc w:val="left"/>
            </w:pPr>
            <w:r>
              <w:t xml:space="preserve">Mission</w:t>
            </w:r>
          </w:p>
        </w:tc>
      </w:tr>
      <w:tr>
        <w:tc>
          <w:tcPr/>
          <w:p>
            <w:pPr>
              <w:pStyle w:val="Compact"/>
              <w:jc w:val="left"/>
            </w:pPr>
            <w:r>
              <w:t xml:space="preserve">Center exclusion</w:t>
            </w:r>
          </w:p>
        </w:tc>
        <w:tc>
          <w:tcPr/>
          <w:p>
            <w:pPr>
              <w:pStyle w:val="Compact"/>
              <w:jc w:val="left"/>
            </w:pPr>
            <w:r>
              <w:t xml:space="preserve">No visitor sets constitutional physics</w:t>
            </w:r>
          </w:p>
        </w:tc>
        <w:tc>
          <w:tcPr/>
          <w:p>
            <w:pPr>
              <w:pStyle w:val="Compact"/>
              <w:jc w:val="left"/>
            </w:pPr>
            <w:r>
              <w:t xml:space="preserve">Estate cannot set federal anchor</w:t>
            </w:r>
          </w:p>
        </w:tc>
        <w:tc>
          <w:tcPr/>
          <w:p>
            <w:pPr>
              <w:pStyle w:val="Compact"/>
              <w:jc w:val="left"/>
            </w:pPr>
            <w:r>
              <w:t xml:space="preserve">Buffer cannot self-elevate</w:t>
            </w:r>
          </w:p>
        </w:tc>
        <w:tc>
          <w:tcPr/>
          <w:p>
            <w:pPr>
              <w:pStyle w:val="Compact"/>
              <w:jc w:val="left"/>
            </w:pPr>
            <w:r>
              <w:t xml:space="preserve">Entry cannot crown retrieval state</w:t>
            </w:r>
          </w:p>
        </w:tc>
        <w:tc>
          <w:tcPr/>
          <w:p>
            <w:pPr>
              <w:pStyle w:val="Compact"/>
              <w:jc w:val="left"/>
            </w:pPr>
            <w:r>
              <w:t xml:space="preserve">Local success cannot crown higher horizon</w:t>
            </w:r>
          </w:p>
        </w:tc>
      </w:tr>
      <w:tr>
        <w:tc>
          <w:tcPr/>
          <w:p>
            <w:pPr>
              <w:pStyle w:val="Compact"/>
              <w:jc w:val="left"/>
            </w:pPr>
            <w:r>
              <w:t xml:space="preserve">Source-tense</w:t>
            </w:r>
          </w:p>
        </w:tc>
        <w:tc>
          <w:tcPr/>
          <w:p>
            <w:pPr>
              <w:pStyle w:val="Compact"/>
              <w:jc w:val="left"/>
            </w:pPr>
            <w:r>
              <w:t xml:space="preserve">Cycle state vs act snapshot</w:t>
            </w:r>
          </w:p>
        </w:tc>
        <w:tc>
          <w:tcPr/>
          <w:p>
            <w:pPr>
              <w:pStyle w:val="Compact"/>
              <w:jc w:val="left"/>
            </w:pPr>
            <w:r>
              <w:t xml:space="preserve">Live rate vs held boundary record</w:t>
            </w:r>
          </w:p>
        </w:tc>
        <w:tc>
          <w:tcPr/>
          <w:p>
            <w:pPr>
              <w:pStyle w:val="Compact"/>
              <w:jc w:val="left"/>
            </w:pPr>
            <w:r>
              <w:t xml:space="preserve">Observation vs finding</w:t>
            </w:r>
          </w:p>
        </w:tc>
        <w:tc>
          <w:tcPr/>
          <w:p>
            <w:pPr>
              <w:pStyle w:val="Compact"/>
              <w:jc w:val="left"/>
            </w:pPr>
            <w:r>
              <w:t xml:space="preserve">Source entry vs derived artifact</w:t>
            </w:r>
          </w:p>
        </w:tc>
        <w:tc>
          <w:tcPr/>
          <w:p>
            <w:pPr>
              <w:pStyle w:val="Compact"/>
              <w:jc w:val="left"/>
            </w:pPr>
            <w:r>
              <w:t xml:space="preserve">Report vs runtime telemetry</w:t>
            </w:r>
          </w:p>
        </w:tc>
      </w:tr>
      <w:tr>
        <w:tc>
          <w:tcPr/>
          <w:p>
            <w:pPr>
              <w:pStyle w:val="Compact"/>
              <w:jc w:val="left"/>
            </w:pPr>
            <w:r>
              <w:t xml:space="preserve">Lawful traversal</w:t>
            </w:r>
          </w:p>
        </w:tc>
        <w:tc>
          <w:tcPr/>
          <w:p>
            <w:pPr>
              <w:pStyle w:val="Compact"/>
              <w:jc w:val="left"/>
            </w:pPr>
            <w:r>
              <w:t xml:space="preserve">Physics and standing gates</w:t>
            </w:r>
          </w:p>
        </w:tc>
        <w:tc>
          <w:tcPr/>
          <w:p>
            <w:pPr>
              <w:pStyle w:val="Compact"/>
              <w:jc w:val="left"/>
            </w:pPr>
            <w:r>
              <w:t xml:space="preserve">Mint, burn, cap, pricing gates</w:t>
            </w:r>
          </w:p>
        </w:tc>
        <w:tc>
          <w:tcPr/>
          <w:p>
            <w:pPr>
              <w:pStyle w:val="Compact"/>
              <w:jc w:val="left"/>
            </w:pPr>
            <w:r>
              <w:t xml:space="preserve">TTL and elevation gates</w:t>
            </w:r>
          </w:p>
        </w:tc>
        <w:tc>
          <w:tcPr/>
          <w:p>
            <w:pPr>
              <w:pStyle w:val="Compact"/>
              <w:jc w:val="left"/>
            </w:pPr>
            <w:r>
              <w:t xml:space="preserve">Quarantine and correction</w:t>
            </w:r>
          </w:p>
        </w:tc>
        <w:tc>
          <w:tcPr/>
          <w:p>
            <w:pPr>
              <w:pStyle w:val="Compact"/>
              <w:jc w:val="left"/>
            </w:pPr>
            <w:r>
              <w:t xml:space="preserve">Authority and horizon gates</w:t>
            </w:r>
          </w:p>
        </w:tc>
      </w:tr>
      <w:tr>
        <w:tc>
          <w:tcPr/>
          <w:p>
            <w:pPr>
              <w:pStyle w:val="Compact"/>
              <w:jc w:val="left"/>
            </w:pPr>
            <w:r>
              <w:t xml:space="preserve">Correction survival</w:t>
            </w:r>
          </w:p>
        </w:tc>
        <w:tc>
          <w:tcPr/>
          <w:p>
            <w:pPr>
              <w:pStyle w:val="Compact"/>
              <w:jc w:val="left"/>
            </w:pPr>
            <w:r>
              <w:t xml:space="preserve">Snapshots and lineage</w:t>
            </w:r>
          </w:p>
        </w:tc>
        <w:tc>
          <w:tcPr/>
          <w:p>
            <w:pPr>
              <w:pStyle w:val="Compact"/>
              <w:jc w:val="left"/>
            </w:pPr>
            <w:r>
              <w:t xml:space="preserve">Breach telemetry and shadow</w:t>
            </w:r>
          </w:p>
        </w:tc>
        <w:tc>
          <w:tcPr/>
          <w:p>
            <w:pPr>
              <w:pStyle w:val="Compact"/>
              <w:jc w:val="left"/>
            </w:pPr>
            <w:r>
              <w:t xml:space="preserve">Overflow and confidence violations</w:t>
            </w:r>
          </w:p>
        </w:tc>
        <w:tc>
          <w:tcPr/>
          <w:p>
            <w:pPr>
              <w:pStyle w:val="Compact"/>
              <w:jc w:val="left"/>
            </w:pPr>
            <w:r>
              <w:t xml:space="preserve">Full retrieval fan-out</w:t>
            </w:r>
          </w:p>
        </w:tc>
        <w:tc>
          <w:tcPr/>
          <w:p>
            <w:pPr>
              <w:pStyle w:val="Compact"/>
              <w:jc w:val="left"/>
            </w:pPr>
            <w:r>
              <w:t xml:space="preserve">Reopen and re-plan</w:t>
            </w:r>
          </w:p>
        </w:tc>
      </w:tr>
      <w:tr>
        <w:tc>
          <w:tcPr/>
          <w:p>
            <w:pPr>
              <w:pStyle w:val="Compact"/>
              <w:jc w:val="left"/>
            </w:pPr>
            <w:r>
              <w:t xml:space="preserve">Partial recursion</w:t>
            </w:r>
          </w:p>
        </w:tc>
        <w:tc>
          <w:tcPr/>
          <w:p>
            <w:pPr>
              <w:pStyle w:val="Compact"/>
              <w:jc w:val="left"/>
            </w:pPr>
            <w:r>
              <w:t xml:space="preserve">Node, bond, cohort, biome</w:t>
            </w:r>
          </w:p>
        </w:tc>
        <w:tc>
          <w:tcPr/>
          <w:p>
            <w:pPr>
              <w:pStyle w:val="Compact"/>
              <w:jc w:val="left"/>
            </w:pPr>
            <w:r>
              <w:t xml:space="preserve">Tick, tic, estate, federation</w:t>
            </w:r>
          </w:p>
        </w:tc>
        <w:tc>
          <w:tcPr/>
          <w:p>
            <w:pPr>
              <w:pStyle w:val="Compact"/>
              <w:jc w:val="left"/>
            </w:pPr>
            <w:r>
              <w:t xml:space="preserve">Observation, pattern, finding</w:t>
            </w:r>
          </w:p>
        </w:tc>
        <w:tc>
          <w:tcPr/>
          <w:p>
            <w:pPr>
              <w:pStyle w:val="Compact"/>
              <w:jc w:val="left"/>
            </w:pPr>
            <w:r>
              <w:t xml:space="preserve">Entry, source, cache, institution</w:t>
            </w:r>
          </w:p>
        </w:tc>
        <w:tc>
          <w:tcPr/>
          <w:p>
            <w:pPr>
              <w:pStyle w:val="Compact"/>
              <w:jc w:val="left"/>
            </w:pPr>
            <w:r>
              <w:t xml:space="preserve">Task, mission, campaign, war</w:t>
            </w:r>
          </w:p>
        </w:tc>
      </w:tr>
      <w:tr>
        <w:tc>
          <w:tcPr/>
          <w:p>
            <w:pPr>
              <w:pStyle w:val="Compact"/>
              <w:jc w:val="left"/>
            </w:pPr>
            <w:r>
              <w:t xml:space="preserve">Human agency</w:t>
            </w:r>
          </w:p>
        </w:tc>
        <w:tc>
          <w:tcPr/>
          <w:p>
            <w:pPr>
              <w:pStyle w:val="Compact"/>
              <w:jc w:val="left"/>
            </w:pPr>
            <w:r>
              <w:t xml:space="preserve">Visitor choice inside physics</w:t>
            </w:r>
          </w:p>
        </w:tc>
        <w:tc>
          <w:tcPr/>
          <w:p>
            <w:pPr>
              <w:pStyle w:val="Compact"/>
              <w:jc w:val="left"/>
            </w:pPr>
            <w:r>
              <w:t xml:space="preserve">Outcome generation, not speculation</w:t>
            </w:r>
          </w:p>
        </w:tc>
        <w:tc>
          <w:tcPr/>
          <w:p>
            <w:pPr>
              <w:pStyle w:val="Compact"/>
              <w:jc w:val="left"/>
            </w:pPr>
            <w:r>
              <w:t xml:space="preserve">Explicit egress and elevation</w:t>
            </w:r>
          </w:p>
        </w:tc>
        <w:tc>
          <w:tcPr/>
          <w:p>
            <w:pPr>
              <w:pStyle w:val="Compact"/>
              <w:jc w:val="left"/>
            </w:pPr>
            <w:r>
              <w:t xml:space="preserve">Notice and review</w:t>
            </w:r>
          </w:p>
        </w:tc>
        <w:tc>
          <w:tcPr/>
          <w:p>
            <w:pPr>
              <w:pStyle w:val="Compact"/>
              <w:jc w:val="left"/>
            </w:pPr>
            <w:r>
              <w:t xml:space="preserve">Authority, challenge, liability</w:t>
            </w:r>
          </w:p>
        </w:tc>
      </w:tr>
    </w:tbl>
    <w:p>
      <w:pPr>
        <w:pStyle w:val="BodyText"/>
      </w:pPr>
      <w:r>
        <w:t xml:space="preserve">The estate is wider by construction. Observer-indexed reality is the specialization; its expression depends on the lane’s physics, authority, and temporal scale.</w:t>
      </w:r>
      <w:r>
        <w:t xml:space="preserve"> </w:t>
      </w:r>
      <w:r>
        <w:t xml:space="preserve"># Part VI - FORKED Range, implementation, and evidence</w:t>
      </w:r>
    </w:p>
    <w:bookmarkEnd w:id="130"/>
    <w:bookmarkStart w:id="134" w:name="Xc118a1a6cbccd8677d6938aee70fe26ace7b886"/>
    <w:p>
      <w:pPr>
        <w:pStyle w:val="Heading2"/>
      </w:pPr>
      <w:r>
        <w:t xml:space="preserve">55. FORKED Range as the estate’s proving surface</w:t>
      </w:r>
    </w:p>
    <w:p>
      <w:pPr>
        <w:pStyle w:val="FirstParagraph"/>
      </w:pPr>
      <w:r>
        <w:t xml:space="preserve">FORKED Range is the environment in which the architecture is made falsifiable. It is not a slide deck about uncertainty and not a generic benchmark runner. It instantiates the parent-to-estate boundary, builds splats from source-tense receipts, loads terrain and trajectory, configures responsibility mechanics, lowers admitted paths into DAGs, exercises observer and human-agency states, and records whether correction survived.</w:t>
      </w:r>
    </w:p>
    <w:p>
      <w:pPr>
        <w:pStyle w:val="CaptionedFigure"/>
      </w:pPr>
      <w:r>
        <w:drawing>
          <wp:inline>
            <wp:extent cx="3335020" cy="6735718"/>
            <wp:effectExtent b="0" l="0" r="0" t="0"/>
            <wp:docPr descr="Figure 16. FORKED Range architecture. The local result must survive the Ubiquity parent gate and remains non-canonical." title="" id="132" name="Picture"/>
            <a:graphic>
              <a:graphicData uri="http://schemas.openxmlformats.org/drawingml/2006/picture">
                <pic:pic>
                  <pic:nvPicPr>
                    <pic:cNvPr descr="figures/figure15_range_architecture.png" id="133" name="Picture"/>
                    <pic:cNvPicPr>
                      <a:picLocks noChangeArrowheads="1" noChangeAspect="1"/>
                    </pic:cNvPicPr>
                  </pic:nvPicPr>
                  <pic:blipFill>
                    <a:blip r:embed="rId131"/>
                    <a:stretch>
                      <a:fillRect/>
                    </a:stretch>
                  </pic:blipFill>
                  <pic:spPr bwMode="auto">
                    <a:xfrm>
                      <a:off x="0" y="0"/>
                      <a:ext cx="3335020" cy="6735718"/>
                    </a:xfrm>
                    <a:prstGeom prst="rect">
                      <a:avLst/>
                    </a:prstGeom>
                    <a:noFill/>
                    <a:ln w="9525">
                      <a:noFill/>
                      <a:headEnd/>
                      <a:tailEnd/>
                    </a:ln>
                  </pic:spPr>
                </pic:pic>
              </a:graphicData>
            </a:graphic>
          </wp:inline>
        </w:drawing>
      </w:r>
    </w:p>
    <w:p>
      <w:pPr>
        <w:pStyle w:val="ImageCaption"/>
      </w:pPr>
      <w:r>
        <w:t xml:space="preserve">Figure 16. FORKED Range architecture. The local result must survive the Ubiquity parent gate and remains non-canonical.</w:t>
      </w:r>
    </w:p>
    <w:p>
      <w:pPr>
        <w:pStyle w:val="BodyText"/>
      </w:pPr>
      <w:r>
        <w:t xml:space="preserve">The current native execution path is:</w:t>
      </w:r>
    </w:p>
    <w:p>
      <w:pPr>
        <w:pStyle w:val="SourceCode"/>
      </w:pPr>
      <w:r>
        <w:rPr>
          <w:rStyle w:val="VerbatimChar"/>
        </w:rPr>
        <w:t xml:space="preserve">1. Ingest receipts, telemetry, records, and accounts.</w:t>
      </w:r>
      <w:r>
        <w:br/>
      </w:r>
      <w:r>
        <w:rPr>
          <w:rStyle w:val="VerbatimChar"/>
        </w:rPr>
        <w:t xml:space="preserve">2. Build mission geometry and observer census.</w:t>
      </w:r>
      <w:r>
        <w:br/>
      </w:r>
      <w:r>
        <w:rPr>
          <w:rStyle w:val="VerbatimChar"/>
        </w:rPr>
        <w:t xml:space="preserve">3. Construct all six facet lanes, including explicit deferred claims.</w:t>
      </w:r>
      <w:r>
        <w:br/>
      </w:r>
      <w:r>
        <w:rPr>
          <w:rStyle w:val="VerbatimChar"/>
        </w:rPr>
        <w:t xml:space="preserve">4. Assemble working centroids and enforce center exclusion.</w:t>
      </w:r>
      <w:r>
        <w:br/>
      </w:r>
      <w:r>
        <w:rPr>
          <w:rStyle w:val="VerbatimChar"/>
        </w:rPr>
        <w:t xml:space="preserve">5. Retrieve shape-conforming terrain and fable mixtures.</w:t>
      </w:r>
      <w:r>
        <w:br/>
      </w:r>
      <w:r>
        <w:rPr>
          <w:rStyle w:val="VerbatimChar"/>
        </w:rPr>
        <w:t xml:space="preserve">6. Calculate trajectory, PONR proximity, and inversion risk.</w:t>
      </w:r>
      <w:r>
        <w:br/>
      </w:r>
      <w:r>
        <w:rPr>
          <w:rStyle w:val="VerbatimChar"/>
        </w:rPr>
        <w:t xml:space="preserve">7. Compute responsibility load, cables, clamps, winches, and blast radius.</w:t>
      </w:r>
      <w:r>
        <w:br/>
      </w:r>
      <w:r>
        <w:rPr>
          <w:rStyle w:val="VerbatimChar"/>
        </w:rPr>
        <w:t xml:space="preserve">8. Build local DAGs and typed cross-DAG joins.</w:t>
      </w:r>
      <w:r>
        <w:br/>
      </w:r>
      <w:r>
        <w:rPr>
          <w:rStyle w:val="VerbatimChar"/>
        </w:rPr>
        <w:t xml:space="preserve">9. Detect hidden or unreceipted dependencies.</w:t>
      </w:r>
      <w:r>
        <w:br/>
      </w:r>
      <w:r>
        <w:rPr>
          <w:rStyle w:val="VerbatimChar"/>
        </w:rPr>
        <w:t xml:space="preserve">10. Evaluate authority, meaningful agency, action risk, and delay risk.</w:t>
      </w:r>
      <w:r>
        <w:br/>
      </w:r>
      <w:r>
        <w:rPr>
          <w:rStyle w:val="VerbatimChar"/>
        </w:rPr>
        <w:t xml:space="preserve">11. Emit hold, review, declare, act, refuse, demote, or reopen.</w:t>
      </w:r>
      <w:r>
        <w:br/>
      </w:r>
      <w:r>
        <w:rPr>
          <w:rStyle w:val="VerbatimChar"/>
        </w:rPr>
        <w:t xml:space="preserve">12. Execute bounded simulation or component work.</w:t>
      </w:r>
      <w:r>
        <w:br/>
      </w:r>
      <w:r>
        <w:rPr>
          <w:rStyle w:val="VerbatimChar"/>
        </w:rPr>
        <w:t xml:space="preserve">13. Collect reaction and correction receipts.</w:t>
      </w:r>
      <w:r>
        <w:br/>
      </w:r>
      <w:r>
        <w:rPr>
          <w:rStyle w:val="VerbatimChar"/>
        </w:rPr>
        <w:t xml:space="preserve">14. Fan correction across known dependents and scan for residue.</w:t>
      </w:r>
      <w:r>
        <w:br/>
      </w:r>
      <w:r>
        <w:rPr>
          <w:rStyle w:val="VerbatimChar"/>
        </w:rPr>
        <w:t xml:space="preserve">15. Compile a natural-language projection bound to the lattice digest.</w:t>
      </w:r>
      <w:r>
        <w:br/>
      </w:r>
      <w:r>
        <w:rPr>
          <w:rStyle w:val="VerbatimChar"/>
        </w:rPr>
        <w:t xml:space="preserve">16. Pass the result through the Ubiquity parent gate.</w:t>
      </w:r>
      <w:r>
        <w:br/>
      </w:r>
      <w:r>
        <w:rPr>
          <w:rStyle w:val="VerbatimChar"/>
        </w:rPr>
        <w:t xml:space="preserve">17. Write local receipts only; no canonical federation mutation.</w:t>
      </w:r>
    </w:p>
    <w:p>
      <w:pPr>
        <w:pStyle w:val="FirstParagraph"/>
      </w:pPr>
      <w:r>
        <w:t xml:space="preserve">The parent gate tests six-facet completeness, center exclusion, receipt binding, meta-DAG stability, mission-lane noncollapse, authority and agency, correction-path survival, suspension exit, language-lattice binding, and non-canonical writer status. The local range can run successfully and still be refused by the parent when one of those conditions fails.</w:t>
      </w:r>
    </w:p>
    <w:bookmarkEnd w:id="134"/>
    <w:bookmarkStart w:id="135" w:name="native-module-map"/>
    <w:p>
      <w:pPr>
        <w:pStyle w:val="Heading2"/>
      </w:pPr>
      <w:r>
        <w:t xml:space="preserve">56. Native module map</w:t>
      </w:r>
    </w:p>
    <w:p>
      <w:pPr>
        <w:pStyle w:val="FirstParagraph"/>
      </w:pPr>
      <w:r>
        <w:t xml:space="preserve">The v1.1 package divides the estate into explicit modules:</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Module</w:t>
            </w:r>
          </w:p>
        </w:tc>
        <w:tc>
          <w:tcPr/>
          <w:p>
            <w:pPr>
              <w:pStyle w:val="Compact"/>
              <w:jc w:val="left"/>
            </w:pPr>
            <w:r>
              <w:t xml:space="preserve">Responsibility</w:t>
            </w:r>
          </w:p>
        </w:tc>
      </w:tr>
      <w:tr>
        <w:tc>
          <w:tcPr/>
          <w:p>
            <w:pPr>
              <w:pStyle w:val="Compact"/>
              <w:jc w:val="left"/>
            </w:pPr>
            <w:r>
              <w:rPr>
                <w:rStyle w:val="VerbatimChar"/>
              </w:rPr>
              <w:t xml:space="preserve">federation.py</w:t>
            </w:r>
          </w:p>
        </w:tc>
        <w:tc>
          <w:tcPr/>
          <w:p>
            <w:pPr>
              <w:pStyle w:val="Compact"/>
              <w:jc w:val="left"/>
            </w:pPr>
            <w:r>
              <w:t xml:space="preserve">Parent manifest, estate contract, and admission gate</w:t>
            </w:r>
          </w:p>
        </w:tc>
      </w:tr>
      <w:tr>
        <w:tc>
          <w:tcPr/>
          <w:p>
            <w:pPr>
              <w:pStyle w:val="Compact"/>
              <w:jc w:val="left"/>
            </w:pPr>
            <w:r>
              <w:rPr>
                <w:rStyle w:val="VerbatimChar"/>
              </w:rPr>
              <w:t xml:space="preserve">six_facet.py</w:t>
            </w:r>
          </w:p>
        </w:tc>
        <w:tc>
          <w:tcPr/>
          <w:p>
            <w:pPr>
              <w:pStyle w:val="Compact"/>
              <w:jc w:val="left"/>
            </w:pPr>
            <w:r>
              <w:t xml:space="preserve">Facet lattice, expansion policy, and splat builder</w:t>
            </w:r>
          </w:p>
        </w:tc>
      </w:tr>
      <w:tr>
        <w:tc>
          <w:tcPr/>
          <w:p>
            <w:pPr>
              <w:pStyle w:val="Compact"/>
              <w:jc w:val="left"/>
            </w:pPr>
            <w:r>
              <w:rPr>
                <w:rStyle w:val="VerbatimChar"/>
              </w:rPr>
              <w:t xml:space="preserve">splat_runtime.py</w:t>
            </w:r>
          </w:p>
        </w:tc>
        <w:tc>
          <w:tcPr/>
          <w:p>
            <w:pPr>
              <w:pStyle w:val="Compact"/>
              <w:jc w:val="left"/>
            </w:pPr>
            <w:r>
              <w:t xml:space="preserve">Splat construction, validation, and bounded expansion</w:t>
            </w:r>
          </w:p>
        </w:tc>
      </w:tr>
      <w:tr>
        <w:tc>
          <w:tcPr/>
          <w:p>
            <w:pPr>
              <w:pStyle w:val="Compact"/>
              <w:jc w:val="left"/>
            </w:pPr>
            <w:r>
              <w:rPr>
                <w:rStyle w:val="VerbatimChar"/>
              </w:rPr>
              <w:t xml:space="preserve">terrain.py</w:t>
            </w:r>
          </w:p>
        </w:tc>
        <w:tc>
          <w:tcPr/>
          <w:p>
            <w:pPr>
              <w:pStyle w:val="Compact"/>
              <w:jc w:val="left"/>
            </w:pPr>
            <w:r>
              <w:t xml:space="preserve">Terrain shape, memories, Mahalanobis matching, trajectory, and receipt-mediated training</w:t>
            </w:r>
          </w:p>
        </w:tc>
      </w:tr>
      <w:tr>
        <w:tc>
          <w:tcPr/>
          <w:p>
            <w:pPr>
              <w:pStyle w:val="Compact"/>
              <w:jc w:val="left"/>
            </w:pPr>
            <w:r>
              <w:rPr>
                <w:rStyle w:val="VerbatimChar"/>
              </w:rPr>
              <w:t xml:space="preserve">fables.py</w:t>
            </w:r>
          </w:p>
        </w:tc>
        <w:tc>
          <w:tcPr/>
          <w:p>
            <w:pPr>
              <w:pStyle w:val="Compact"/>
              <w:jc w:val="left"/>
            </w:pPr>
            <w:r>
              <w:t xml:space="preserve">Aesop field adapter, wisdom/caution mixture, and inversion logic</w:t>
            </w:r>
          </w:p>
        </w:tc>
      </w:tr>
      <w:tr>
        <w:tc>
          <w:tcPr/>
          <w:p>
            <w:pPr>
              <w:pStyle w:val="Compact"/>
              <w:jc w:val="left"/>
            </w:pPr>
            <w:r>
              <w:rPr>
                <w:rStyle w:val="VerbatimChar"/>
              </w:rPr>
              <w:t xml:space="preserve">responsibility.py</w:t>
            </w:r>
            <w:r>
              <w:t xml:space="preserve"> </w:t>
            </w:r>
            <w:r>
              <w:t xml:space="preserve">/</w:t>
            </w:r>
            <w:r>
              <w:t xml:space="preserve"> </w:t>
            </w:r>
            <w:r>
              <w:rPr>
                <w:rStyle w:val="VerbatimChar"/>
              </w:rPr>
              <w:t xml:space="preserve">cables.py</w:t>
            </w:r>
          </w:p>
        </w:tc>
        <w:tc>
          <w:tcPr/>
          <w:p>
            <w:pPr>
              <w:pStyle w:val="Compact"/>
              <w:jc w:val="left"/>
            </w:pPr>
            <w:r>
              <w:t xml:space="preserve">Responsibility load, polar cables, winches, clamps, blast radius</w:t>
            </w:r>
          </w:p>
        </w:tc>
      </w:tr>
      <w:tr>
        <w:tc>
          <w:tcPr/>
          <w:p>
            <w:pPr>
              <w:pStyle w:val="Compact"/>
              <w:jc w:val="left"/>
            </w:pPr>
            <w:r>
              <w:rPr>
                <w:rStyle w:val="VerbatimChar"/>
              </w:rPr>
              <w:t xml:space="preserve">graph.py</w:t>
            </w:r>
          </w:p>
        </w:tc>
        <w:tc>
          <w:tcPr/>
          <w:p>
            <w:pPr>
              <w:pStyle w:val="Compact"/>
              <w:jc w:val="left"/>
            </w:pPr>
            <w:r>
              <w:t xml:space="preserve">Local DAGs, cross-DAG joins, false stability, repair, and fan-out</w:t>
            </w:r>
          </w:p>
        </w:tc>
      </w:tr>
      <w:tr>
        <w:tc>
          <w:tcPr/>
          <w:p>
            <w:pPr>
              <w:pStyle w:val="Compact"/>
              <w:jc w:val="left"/>
            </w:pPr>
            <w:r>
              <w:rPr>
                <w:rStyle w:val="VerbatimChar"/>
              </w:rPr>
              <w:t xml:space="preserve">threshold.py</w:t>
            </w:r>
          </w:p>
        </w:tc>
        <w:tc>
          <w:tcPr/>
          <w:p>
            <w:pPr>
              <w:pStyle w:val="Compact"/>
              <w:jc w:val="left"/>
            </w:pPr>
            <w:r>
              <w:t xml:space="preserve">Evidence support, authority, agency, correction, and action/delay decisions</w:t>
            </w:r>
          </w:p>
        </w:tc>
      </w:tr>
      <w:tr>
        <w:tc>
          <w:tcPr/>
          <w:p>
            <w:pPr>
              <w:pStyle w:val="Compact"/>
              <w:jc w:val="left"/>
            </w:pPr>
            <w:r>
              <w:rPr>
                <w:rStyle w:val="VerbatimChar"/>
              </w:rPr>
              <w:t xml:space="preserve">suspension.py</w:t>
            </w:r>
          </w:p>
        </w:tc>
        <w:tc>
          <w:tcPr/>
          <w:p>
            <w:pPr>
              <w:pStyle w:val="Compact"/>
              <w:jc w:val="left"/>
            </w:pPr>
            <w:r>
              <w:t xml:space="preserve">Governed hold tickets, expiry, review, declaration, refusal, and reopen</w:t>
            </w:r>
          </w:p>
        </w:tc>
      </w:tr>
      <w:tr>
        <w:tc>
          <w:tcPr/>
          <w:p>
            <w:pPr>
              <w:pStyle w:val="Compact"/>
              <w:jc w:val="left"/>
            </w:pPr>
            <w:r>
              <w:rPr>
                <w:rStyle w:val="VerbatimChar"/>
              </w:rPr>
              <w:t xml:space="preserve">mission.py</w:t>
            </w:r>
          </w:p>
        </w:tc>
        <w:tc>
          <w:tcPr/>
          <w:p>
            <w:pPr>
              <w:pStyle w:val="Compact"/>
              <w:jc w:val="left"/>
            </w:pPr>
            <w:r>
              <w:t xml:space="preserve">Task/mission/battle/campaign/war/strategic noncollapse</w:t>
            </w:r>
          </w:p>
        </w:tc>
      </w:tr>
      <w:tr>
        <w:tc>
          <w:tcPr/>
          <w:p>
            <w:pPr>
              <w:pStyle w:val="Compact"/>
              <w:jc w:val="left"/>
            </w:pPr>
            <w:r>
              <w:rPr>
                <w:rStyle w:val="VerbatimChar"/>
              </w:rPr>
              <w:t xml:space="preserve">observer.py</w:t>
            </w:r>
          </w:p>
        </w:tc>
        <w:tc>
          <w:tcPr/>
          <w:p>
            <w:pPr>
              <w:pStyle w:val="Compact"/>
              <w:jc w:val="left"/>
            </w:pPr>
            <w:r>
              <w:t xml:space="preserve">Physical state, observer geometry, SightState, declarations, and reaction receipts</w:t>
            </w:r>
          </w:p>
        </w:tc>
      </w:tr>
      <w:tr>
        <w:tc>
          <w:tcPr/>
          <w:p>
            <w:pPr>
              <w:pStyle w:val="Compact"/>
              <w:jc w:val="left"/>
            </w:pPr>
            <w:r>
              <w:rPr>
                <w:rStyle w:val="VerbatimChar"/>
              </w:rPr>
              <w:t xml:space="preserve">sensory.py</w:t>
            </w:r>
          </w:p>
        </w:tc>
        <w:tc>
          <w:tcPr/>
          <w:p>
            <w:pPr>
              <w:pStyle w:val="Compact"/>
              <w:jc w:val="left"/>
            </w:pPr>
            <w:r>
              <w:t xml:space="preserve">TTL observations, aggregation, confidence class, and elevation</w:t>
            </w:r>
          </w:p>
        </w:tc>
      </w:tr>
      <w:tr>
        <w:tc>
          <w:tcPr/>
          <w:p>
            <w:pPr>
              <w:pStyle w:val="Compact"/>
              <w:jc w:val="left"/>
            </w:pPr>
            <w:r>
              <w:rPr>
                <w:rStyle w:val="VerbatimChar"/>
              </w:rPr>
              <w:t xml:space="preserve">cache.py</w:t>
            </w:r>
          </w:p>
        </w:tc>
        <w:tc>
          <w:tcPr/>
          <w:p>
            <w:pPr>
              <w:pStyle w:val="Compact"/>
              <w:jc w:val="left"/>
            </w:pPr>
            <w:r>
              <w:t xml:space="preserve">Quarantine, contamination scope, and dependency traversal</w:t>
            </w:r>
          </w:p>
        </w:tc>
      </w:tr>
      <w:tr>
        <w:tc>
          <w:tcPr/>
          <w:p>
            <w:pPr>
              <w:pStyle w:val="Compact"/>
              <w:jc w:val="left"/>
            </w:pPr>
            <w:r>
              <w:rPr>
                <w:rStyle w:val="VerbatimChar"/>
              </w:rPr>
              <w:t xml:space="preserve">lifecycle.py</w:t>
            </w:r>
          </w:p>
        </w:tc>
        <w:tc>
          <w:tcPr/>
          <w:p>
            <w:pPr>
              <w:pStyle w:val="Compact"/>
              <w:jc w:val="left"/>
            </w:pPr>
            <w:r>
              <w:t xml:space="preserve">Citizen lifecycle and bounded methylation</w:t>
            </w:r>
          </w:p>
        </w:tc>
      </w:tr>
      <w:tr>
        <w:tc>
          <w:tcPr/>
          <w:p>
            <w:pPr>
              <w:pStyle w:val="Compact"/>
              <w:jc w:val="left"/>
            </w:pPr>
            <w:r>
              <w:rPr>
                <w:rStyle w:val="VerbatimChar"/>
              </w:rPr>
              <w:t xml:space="preserve">hunger.py</w:t>
            </w:r>
          </w:p>
        </w:tc>
        <w:tc>
          <w:tcPr/>
          <w:p>
            <w:pPr>
              <w:pStyle w:val="Compact"/>
              <w:jc w:val="left"/>
            </w:pPr>
            <w:r>
              <w:t xml:space="preserve">Seven-tic scarcity and coordination-pressure simulation</w:t>
            </w:r>
          </w:p>
        </w:tc>
      </w:tr>
      <w:tr>
        <w:tc>
          <w:tcPr/>
          <w:p>
            <w:pPr>
              <w:pStyle w:val="Compact"/>
              <w:jc w:val="left"/>
            </w:pPr>
            <w:r>
              <w:rPr>
                <w:rStyle w:val="VerbatimChar"/>
              </w:rPr>
              <w:t xml:space="preserve">biome.py</w:t>
            </w:r>
          </w:p>
        </w:tc>
        <w:tc>
          <w:tcPr/>
          <w:p>
            <w:pPr>
              <w:pStyle w:val="Compact"/>
              <w:jc w:val="left"/>
            </w:pPr>
            <w:r>
              <w:t xml:space="preserve">Fifty-cycle Physarum/Lichen constitutional biome</w:t>
            </w:r>
          </w:p>
        </w:tc>
      </w:tr>
      <w:tr>
        <w:tc>
          <w:tcPr/>
          <w:p>
            <w:pPr>
              <w:pStyle w:val="Compact"/>
              <w:jc w:val="left"/>
            </w:pPr>
            <w:r>
              <w:rPr>
                <w:rStyle w:val="VerbatimChar"/>
              </w:rPr>
              <w:t xml:space="preserve">economy.py</w:t>
            </w:r>
          </w:p>
        </w:tc>
        <w:tc>
          <w:tcPr/>
          <w:p>
            <w:pPr>
              <w:pStyle w:val="Compact"/>
              <w:jc w:val="left"/>
            </w:pPr>
            <w:r>
              <w:t xml:space="preserve">Live source selftests and economic adapters</w:t>
            </w:r>
          </w:p>
        </w:tc>
      </w:tr>
      <w:tr>
        <w:tc>
          <w:tcPr/>
          <w:p>
            <w:pPr>
              <w:pStyle w:val="Compact"/>
              <w:jc w:val="left"/>
            </w:pPr>
            <w:r>
              <w:rPr>
                <w:rStyle w:val="VerbatimChar"/>
              </w:rPr>
              <w:t xml:space="preserve">language.py</w:t>
            </w:r>
          </w:p>
        </w:tc>
        <w:tc>
          <w:tcPr/>
          <w:p>
            <w:pPr>
              <w:pStyle w:val="Compact"/>
              <w:jc w:val="left"/>
            </w:pPr>
            <w:r>
              <w:t xml:space="preserve">Lattice-bound natural-language projection</w:t>
            </w:r>
          </w:p>
        </w:tc>
      </w:tr>
      <w:tr>
        <w:tc>
          <w:tcPr/>
          <w:p>
            <w:pPr>
              <w:pStyle w:val="Compact"/>
              <w:jc w:val="left"/>
            </w:pPr>
            <w:r>
              <w:rPr>
                <w:rStyle w:val="VerbatimChar"/>
              </w:rPr>
              <w:t xml:space="preserve">range.py</w:t>
            </w:r>
          </w:p>
        </w:tc>
        <w:tc>
          <w:tcPr/>
          <w:p>
            <w:pPr>
              <w:pStyle w:val="Compact"/>
              <w:jc w:val="left"/>
            </w:pPr>
            <w:r>
              <w:t xml:space="preserve">Integrated execution and output assembly</w:t>
            </w:r>
          </w:p>
        </w:tc>
      </w:tr>
    </w:tbl>
    <w:p>
      <w:pPr>
        <w:pStyle w:val="BodyText"/>
      </w:pPr>
      <w:r>
        <w:t xml:space="preserve">The implementation uses strict Pydantic models, forbids unknown fields on governed objects, generates fifteen JSON Schemas, and emits deterministic content-derived identifiers where the source object supports them.</w:t>
      </w:r>
      <w:r>
        <w:t xml:space="preserve"> </w:t>
      </w:r>
      <w:hyperlink w:anchor="ref-ForkedNative2026">
        <w:r>
          <w:rPr>
            <w:rStyle w:val="Hyperlink"/>
          </w:rPr>
          <w:t xml:space="preserve">[1]</w:t>
        </w:r>
      </w:hyperlink>
    </w:p>
    <w:bookmarkEnd w:id="135"/>
    <w:bookmarkStart w:id="136" w:name="schema-surface"/>
    <w:p>
      <w:pPr>
        <w:pStyle w:val="Heading2"/>
      </w:pPr>
      <w:r>
        <w:t xml:space="preserve">57. Schema surface</w:t>
      </w:r>
    </w:p>
    <w:p>
      <w:pPr>
        <w:pStyle w:val="FirstParagraph"/>
      </w:pPr>
      <w:r>
        <w:t xml:space="preserve">The whitepaper distribution includes the current schemas for:</w:t>
      </w:r>
    </w:p>
    <w:p>
      <w:pPr>
        <w:pStyle w:val="Compact"/>
        <w:numPr>
          <w:ilvl w:val="0"/>
          <w:numId w:val="1011"/>
        </w:numPr>
      </w:pPr>
      <w:r>
        <w:t xml:space="preserve">federation manifest;</w:t>
      </w:r>
    </w:p>
    <w:p>
      <w:pPr>
        <w:pStyle w:val="Compact"/>
        <w:numPr>
          <w:ilvl w:val="0"/>
          <w:numId w:val="1011"/>
        </w:numPr>
      </w:pPr>
      <w:r>
        <w:t xml:space="preserve">mission context and mission geometry;</w:t>
      </w:r>
    </w:p>
    <w:p>
      <w:pPr>
        <w:pStyle w:val="Compact"/>
        <w:numPr>
          <w:ilvl w:val="0"/>
          <w:numId w:val="1011"/>
        </w:numPr>
      </w:pPr>
      <w:r>
        <w:t xml:space="preserve">evidence receipt;</w:t>
      </w:r>
    </w:p>
    <w:p>
      <w:pPr>
        <w:pStyle w:val="Compact"/>
        <w:numPr>
          <w:ilvl w:val="0"/>
          <w:numId w:val="1011"/>
        </w:numPr>
      </w:pPr>
      <w:r>
        <w:t xml:space="preserve">splat;</w:t>
      </w:r>
    </w:p>
    <w:p>
      <w:pPr>
        <w:pStyle w:val="Compact"/>
        <w:numPr>
          <w:ilvl w:val="0"/>
          <w:numId w:val="1011"/>
        </w:numPr>
      </w:pPr>
      <w:r>
        <w:t xml:space="preserve">terrain shape;</w:t>
      </w:r>
    </w:p>
    <w:p>
      <w:pPr>
        <w:pStyle w:val="Compact"/>
        <w:numPr>
          <w:ilvl w:val="0"/>
          <w:numId w:val="1011"/>
        </w:numPr>
      </w:pPr>
      <w:r>
        <w:t xml:space="preserve">SightState;</w:t>
      </w:r>
    </w:p>
    <w:p>
      <w:pPr>
        <w:pStyle w:val="Compact"/>
        <w:numPr>
          <w:ilvl w:val="0"/>
          <w:numId w:val="1011"/>
        </w:numPr>
      </w:pPr>
      <w:r>
        <w:t xml:space="preserve">validation frame and validation result;</w:t>
      </w:r>
    </w:p>
    <w:p>
      <w:pPr>
        <w:pStyle w:val="Compact"/>
        <w:numPr>
          <w:ilvl w:val="0"/>
          <w:numId w:val="1011"/>
        </w:numPr>
      </w:pPr>
      <w:r>
        <w:t xml:space="preserve">suspension ledger;</w:t>
      </w:r>
    </w:p>
    <w:p>
      <w:pPr>
        <w:pStyle w:val="Compact"/>
        <w:numPr>
          <w:ilvl w:val="0"/>
          <w:numId w:val="1011"/>
        </w:numPr>
      </w:pPr>
      <w:r>
        <w:t xml:space="preserve">language projection;</w:t>
      </w:r>
    </w:p>
    <w:p>
      <w:pPr>
        <w:pStyle w:val="Compact"/>
        <w:numPr>
          <w:ilvl w:val="0"/>
          <w:numId w:val="1011"/>
        </w:numPr>
      </w:pPr>
      <w:r>
        <w:t xml:space="preserve">HUNGER run;</w:t>
      </w:r>
    </w:p>
    <w:p>
      <w:pPr>
        <w:pStyle w:val="Compact"/>
        <w:numPr>
          <w:ilvl w:val="0"/>
          <w:numId w:val="1011"/>
        </w:numPr>
      </w:pPr>
      <w:r>
        <w:t xml:space="preserve">biome run;</w:t>
      </w:r>
    </w:p>
    <w:p>
      <w:pPr>
        <w:pStyle w:val="Compact"/>
        <w:numPr>
          <w:ilvl w:val="0"/>
          <w:numId w:val="1011"/>
        </w:numPr>
      </w:pPr>
      <w:r>
        <w:t xml:space="preserve">complete range run.</w:t>
      </w:r>
    </w:p>
    <w:p>
      <w:pPr>
        <w:pStyle w:val="FirstParagraph"/>
      </w:pPr>
      <w:r>
        <w:t xml:space="preserve">The schema is not the whole behavior, but it makes silent category collapse harder. For example, the validation result carries action, gates, correction path, liability owner, evidence support, action risk, delay risk, and thresholds separately. A consumer cannot safely replace this with one</w:t>
      </w:r>
      <w:r>
        <w:t xml:space="preserve"> </w:t>
      </w:r>
      <w:r>
        <w:rPr>
          <w:rStyle w:val="VerbatimChar"/>
        </w:rPr>
        <w:t xml:space="preserve">approved: true</w:t>
      </w:r>
      <w:r>
        <w:t xml:space="preserve"> </w:t>
      </w:r>
      <w:r>
        <w:t xml:space="preserve">field without knowingly discarding governed state.</w:t>
      </w:r>
    </w:p>
    <w:bookmarkEnd w:id="136"/>
    <w:bookmarkStart w:id="137" w:name="reproducibility-and-source-lineage"/>
    <w:p>
      <w:pPr>
        <w:pStyle w:val="Heading2"/>
      </w:pPr>
      <w:r>
        <w:t xml:space="preserve">58. Reproducibility and source lineage</w:t>
      </w:r>
    </w:p>
    <w:p>
      <w:pPr>
        <w:pStyle w:val="FirstParagraph"/>
      </w:pPr>
      <w:r>
        <w:t xml:space="preserve">The native range preserves two source classes:</w:t>
      </w:r>
    </w:p>
    <w:p>
      <w:pPr>
        <w:pStyle w:val="SourceCode"/>
      </w:pPr>
      <w:r>
        <w:rPr>
          <w:rStyle w:val="VerbatimChar"/>
        </w:rPr>
        <w:t xml:space="preserve">lineage/source_inputs</w:t>
      </w:r>
      <w:r>
        <w:br/>
      </w:r>
      <w:r>
        <w:rPr>
          <w:rStyle w:val="VerbatimChar"/>
        </w:rPr>
        <w:t xml:space="preserve">  Live estate code and specifications supplied for the build.</w:t>
      </w:r>
      <w:r>
        <w:br/>
      </w:r>
      <w:r>
        <w:br/>
      </w:r>
      <w:r>
        <w:rPr>
          <w:rStyle w:val="VerbatimChar"/>
        </w:rPr>
        <w:t xml:space="preserve">lineage/parent_docs</w:t>
      </w:r>
      <w:r>
        <w:br/>
      </w:r>
      <w:r>
        <w:rPr>
          <w:rStyle w:val="VerbatimChar"/>
        </w:rPr>
        <w:t xml:space="preserve">  FQoQ, open-center, and prior FORKED architecture documents.</w:t>
      </w:r>
    </w:p>
    <w:p>
      <w:pPr>
        <w:pStyle w:val="FirstParagraph"/>
      </w:pPr>
      <w:r>
        <w:t xml:space="preserve">The source artifacts are copied byte-for-byte and hashed. Inclusion establishes lineage, not canonicalization. The local implementation imports selected mechanics through compatibility modules while declaring that it is not the source-of-record writer.</w:t>
      </w:r>
    </w:p>
    <w:p>
      <w:pPr>
        <w:pStyle w:val="BodyText"/>
      </w:pPr>
      <w:r>
        <w:t xml:space="preserve">The v1.1 release records:</w:t>
      </w:r>
    </w:p>
    <w:p>
      <w:pPr>
        <w:pStyle w:val="SourceCode"/>
      </w:pPr>
      <w:r>
        <w:rPr>
          <w:rStyle w:val="VerbatimChar"/>
        </w:rPr>
        <w:t xml:space="preserve">27 automated tests passed</w:t>
      </w:r>
      <w:r>
        <w:br/>
      </w:r>
      <w:r>
        <w:rPr>
          <w:rStyle w:val="VerbatimChar"/>
        </w:rPr>
        <w:t xml:space="preserve">93 percent native statement coverage</w:t>
      </w:r>
      <w:r>
        <w:br/>
      </w:r>
      <w:r>
        <w:rPr>
          <w:rStyle w:val="VerbatimChar"/>
        </w:rPr>
        <w:t xml:space="preserve">4 of 4 supplied component selftests passed</w:t>
      </w:r>
      <w:r>
        <w:br/>
      </w:r>
      <w:r>
        <w:rPr>
          <w:rStyle w:val="VerbatimChar"/>
        </w:rPr>
        <w:t xml:space="preserve">integrated parent gate admitted</w:t>
      </w:r>
      <w:r>
        <w:br/>
      </w:r>
      <w:r>
        <w:rPr>
          <w:rStyle w:val="VerbatimChar"/>
        </w:rPr>
        <w:t xml:space="preserve">integrated suspension stabilized</w:t>
      </w:r>
      <w:r>
        <w:br/>
      </w:r>
      <w:r>
        <w:rPr>
          <w:rStyle w:val="VerbatimChar"/>
        </w:rPr>
        <w:t xml:space="preserve">validation sequence hold -&gt; review -&gt; declare</w:t>
      </w:r>
      <w:r>
        <w:br/>
      </w:r>
      <w:r>
        <w:rPr>
          <w:rStyle w:val="VerbatimChar"/>
        </w:rPr>
        <w:t xml:space="preserve">25 of 25 release-verification checks passed</w:t>
      </w:r>
    </w:p>
    <w:p>
      <w:pPr>
        <w:pStyle w:val="FirstParagraph"/>
      </w:pPr>
      <w:r>
        <w:t xml:space="preserve">These are implementation receipts. They establish that the package executed as recorded. They do not establish human, hardware, customer, field, or operational performance.</w:t>
      </w:r>
    </w:p>
    <w:bookmarkEnd w:id="137"/>
    <w:bookmarkStart w:id="141" w:name="evidence-ladder"/>
    <w:p>
      <w:pPr>
        <w:pStyle w:val="Heading2"/>
      </w:pPr>
      <w:r>
        <w:t xml:space="preserve">59. Evidence ladder</w:t>
      </w:r>
    </w:p>
    <w:p>
      <w:pPr>
        <w:pStyle w:val="FirstParagraph"/>
      </w:pPr>
      <w:r>
        <w:t xml:space="preserve">FORKED uses an evidence ladder because synthetic scale can create false authority.</w:t>
      </w:r>
    </w:p>
    <w:p>
      <w:pPr>
        <w:pStyle w:val="CaptionedFigure"/>
      </w:pPr>
      <w:r>
        <w:drawing>
          <wp:inline>
            <wp:extent cx="4617720" cy="4032861"/>
            <wp:effectExtent b="0" l="0" r="0" t="0"/>
            <wp:docPr descr="Figure 17. Evidence ladder. Scale inside a synthetic lane does not promote the result into a field lane." title="" id="139" name="Picture"/>
            <a:graphic>
              <a:graphicData uri="http://schemas.openxmlformats.org/drawingml/2006/picture">
                <pic:pic>
                  <pic:nvPicPr>
                    <pic:cNvPr descr="figures/figure16_evidence_ladder.png" id="140" name="Picture"/>
                    <pic:cNvPicPr>
                      <a:picLocks noChangeArrowheads="1" noChangeAspect="1"/>
                    </pic:cNvPicPr>
                  </pic:nvPicPr>
                  <pic:blipFill>
                    <a:blip r:embed="rId138"/>
                    <a:stretch>
                      <a:fillRect/>
                    </a:stretch>
                  </pic:blipFill>
                  <pic:spPr bwMode="auto">
                    <a:xfrm>
                      <a:off x="0" y="0"/>
                      <a:ext cx="4617720" cy="4032861"/>
                    </a:xfrm>
                    <a:prstGeom prst="rect">
                      <a:avLst/>
                    </a:prstGeom>
                    <a:noFill/>
                    <a:ln w="9525">
                      <a:noFill/>
                      <a:headEnd/>
                      <a:tailEnd/>
                    </a:ln>
                  </pic:spPr>
                </pic:pic>
              </a:graphicData>
            </a:graphic>
          </wp:inline>
        </w:drawing>
      </w:r>
    </w:p>
    <w:p>
      <w:pPr>
        <w:pStyle w:val="ImageCaption"/>
      </w:pPr>
      <w:r>
        <w:t xml:space="preserve">Figure 17. Evidence ladder. Scale inside a synthetic lane does not promote the result into a field lane.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Lane</w:t>
            </w:r>
          </w:p>
        </w:tc>
        <w:tc>
          <w:tcPr/>
          <w:p>
            <w:pPr>
              <w:pStyle w:val="Compact"/>
              <w:jc w:val="left"/>
            </w:pPr>
            <w:r>
              <w:t xml:space="preserve">Object</w:t>
            </w:r>
          </w:p>
        </w:tc>
        <w:tc>
          <w:tcPr/>
          <w:p>
            <w:pPr>
              <w:pStyle w:val="Compact"/>
              <w:jc w:val="left"/>
            </w:pPr>
            <w:r>
              <w:t xml:space="preserve">What it can support</w:t>
            </w:r>
          </w:p>
        </w:tc>
      </w:tr>
      <w:tr>
        <w:tc>
          <w:tcPr/>
          <w:p>
            <w:pPr>
              <w:pStyle w:val="Compact"/>
              <w:jc w:val="left"/>
            </w:pPr>
            <w:r>
              <w:rPr>
                <w:b/>
                <w:bCs/>
              </w:rPr>
              <w:t xml:space="preserve">E0</w:t>
            </w:r>
          </w:p>
        </w:tc>
        <w:tc>
          <w:tcPr/>
          <w:p>
            <w:pPr>
              <w:pStyle w:val="Compact"/>
              <w:jc w:val="left"/>
            </w:pPr>
            <w:r>
              <w:t xml:space="preserve">Unreceipted assertion</w:t>
            </w:r>
          </w:p>
        </w:tc>
        <w:tc>
          <w:tcPr/>
          <w:p>
            <w:pPr>
              <w:pStyle w:val="Compact"/>
              <w:jc w:val="left"/>
            </w:pPr>
            <w:r>
              <w:t xml:space="preserve">A question or candidate claim, no decision standing</w:t>
            </w:r>
          </w:p>
        </w:tc>
      </w:tr>
      <w:tr>
        <w:tc>
          <w:tcPr/>
          <w:p>
            <w:pPr>
              <w:pStyle w:val="Compact"/>
              <w:jc w:val="left"/>
            </w:pPr>
            <w:r>
              <w:rPr>
                <w:b/>
                <w:bCs/>
              </w:rPr>
              <w:t xml:space="preserve">E1</w:t>
            </w:r>
          </w:p>
        </w:tc>
        <w:tc>
          <w:tcPr/>
          <w:p>
            <w:pPr>
              <w:pStyle w:val="Compact"/>
              <w:jc w:val="left"/>
            </w:pPr>
            <w:r>
              <w:t xml:space="preserve">Primary standard, source artifact, or canonical record</w:t>
            </w:r>
          </w:p>
        </w:tc>
        <w:tc>
          <w:tcPr/>
          <w:p>
            <w:pPr>
              <w:pStyle w:val="Compact"/>
              <w:jc w:val="left"/>
            </w:pPr>
            <w:r>
              <w:t xml:space="preserve">What the source states under its scope and tense</w:t>
            </w:r>
          </w:p>
        </w:tc>
      </w:tr>
      <w:tr>
        <w:tc>
          <w:tcPr/>
          <w:p>
            <w:pPr>
              <w:pStyle w:val="Compact"/>
              <w:jc w:val="left"/>
            </w:pPr>
            <w:r>
              <w:rPr>
                <w:b/>
                <w:bCs/>
              </w:rPr>
              <w:t xml:space="preserve">E2</w:t>
            </w:r>
          </w:p>
        </w:tc>
        <w:tc>
          <w:tcPr/>
          <w:p>
            <w:pPr>
              <w:pStyle w:val="Compact"/>
              <w:jc w:val="left"/>
            </w:pPr>
            <w:r>
              <w:t xml:space="preserve">Demonstrated component result</w:t>
            </w:r>
          </w:p>
        </w:tc>
        <w:tc>
          <w:tcPr/>
          <w:p>
            <w:pPr>
              <w:pStyle w:val="Compact"/>
              <w:jc w:val="left"/>
            </w:pPr>
            <w:r>
              <w:t xml:space="preserve">Behavior of the component under the recorded configuration</w:t>
            </w:r>
          </w:p>
        </w:tc>
      </w:tr>
      <w:tr>
        <w:tc>
          <w:tcPr/>
          <w:p>
            <w:pPr>
              <w:pStyle w:val="Compact"/>
              <w:jc w:val="left"/>
            </w:pPr>
            <w:r>
              <w:rPr>
                <w:b/>
                <w:bCs/>
              </w:rPr>
              <w:t xml:space="preserve">E3</w:t>
            </w:r>
          </w:p>
        </w:tc>
        <w:tc>
          <w:tcPr/>
          <w:p>
            <w:pPr>
              <w:pStyle w:val="Compact"/>
              <w:jc w:val="left"/>
            </w:pPr>
            <w:r>
              <w:t xml:space="preserve">Architectural synthesis</w:t>
            </w:r>
          </w:p>
        </w:tc>
        <w:tc>
          <w:tcPr/>
          <w:p>
            <w:pPr>
              <w:pStyle w:val="Compact"/>
              <w:jc w:val="left"/>
            </w:pPr>
            <w:r>
              <w:t xml:space="preserve">A design claim with assumptions and falsifiers</w:t>
            </w:r>
          </w:p>
        </w:tc>
      </w:tr>
      <w:tr>
        <w:tc>
          <w:tcPr/>
          <w:p>
            <w:pPr>
              <w:pStyle w:val="Compact"/>
              <w:jc w:val="left"/>
            </w:pPr>
            <w:r>
              <w:rPr>
                <w:b/>
                <w:bCs/>
              </w:rPr>
              <w:t xml:space="preserve">E4</w:t>
            </w:r>
          </w:p>
        </w:tc>
        <w:tc>
          <w:tcPr/>
          <w:p>
            <w:pPr>
              <w:pStyle w:val="Compact"/>
              <w:jc w:val="left"/>
            </w:pPr>
            <w:r>
              <w:t xml:space="preserve">Testable research hypothesis</w:t>
            </w:r>
          </w:p>
        </w:tc>
        <w:tc>
          <w:tcPr/>
          <w:p>
            <w:pPr>
              <w:pStyle w:val="Compact"/>
              <w:jc w:val="left"/>
            </w:pPr>
            <w:r>
              <w:t xml:space="preserve">A preregisterable proposition, not an established effect</w:t>
            </w:r>
          </w:p>
        </w:tc>
      </w:tr>
      <w:tr>
        <w:tc>
          <w:tcPr/>
          <w:p>
            <w:pPr>
              <w:pStyle w:val="Compact"/>
              <w:jc w:val="left"/>
            </w:pPr>
            <w:r>
              <w:rPr>
                <w:b/>
                <w:bCs/>
              </w:rPr>
              <w:t xml:space="preserve">E5</w:t>
            </w:r>
          </w:p>
        </w:tc>
        <w:tc>
          <w:tcPr/>
          <w:p>
            <w:pPr>
              <w:pStyle w:val="Compact"/>
              <w:jc w:val="left"/>
            </w:pPr>
            <w:r>
              <w:t xml:space="preserve">Replicated integrated-system result</w:t>
            </w:r>
          </w:p>
        </w:tc>
        <w:tc>
          <w:tcPr/>
          <w:p>
            <w:pPr>
              <w:pStyle w:val="Compact"/>
              <w:jc w:val="left"/>
            </w:pPr>
            <w:r>
              <w:t xml:space="preserve">Performance within a defined external test family</w:t>
            </w:r>
          </w:p>
        </w:tc>
      </w:tr>
      <w:tr>
        <w:tc>
          <w:tcPr/>
          <w:p>
            <w:pPr>
              <w:pStyle w:val="Compact"/>
              <w:jc w:val="left"/>
            </w:pPr>
            <w:r>
              <w:rPr>
                <w:b/>
                <w:bCs/>
              </w:rPr>
              <w:t xml:space="preserve">E6</w:t>
            </w:r>
          </w:p>
        </w:tc>
        <w:tc>
          <w:tcPr/>
          <w:p>
            <w:pPr>
              <w:pStyle w:val="Compact"/>
              <w:jc w:val="left"/>
            </w:pPr>
            <w:r>
              <w:t xml:space="preserve">Authorized operational evidence</w:t>
            </w:r>
          </w:p>
        </w:tc>
        <w:tc>
          <w:tcPr/>
          <w:p>
            <w:pPr>
              <w:pStyle w:val="Compact"/>
              <w:jc w:val="left"/>
            </w:pPr>
            <w:r>
              <w:t xml:space="preserve">Context-specific evidence under the relevant legal, ethical, safety, and authority regime</w:t>
            </w:r>
          </w:p>
        </w:tc>
      </w:tr>
    </w:tbl>
    <w:p>
      <w:pPr>
        <w:pStyle w:val="BodyText"/>
      </w:pPr>
      <w:r>
        <w:t xml:space="preserve">The ladder is not linear in value. An E1 physical invariant can outrank an E5 behavioral correlation for a specific path. The lane indicates what sort of statement the evidence may lawfully support.</w:t>
      </w:r>
    </w:p>
    <w:bookmarkEnd w:id="141"/>
    <w:bookmarkStart w:id="149" w:name="X523e882810de471235e8aeb04baf00cd0e07c8c"/>
    <w:p>
      <w:pPr>
        <w:pStyle w:val="Heading2"/>
      </w:pPr>
      <w:r>
        <w:t xml:space="preserve">60. The first experimental discharge and its correction</w:t>
      </w:r>
    </w:p>
    <w:p>
      <w:pPr>
        <w:pStyle w:val="FirstParagraph"/>
      </w:pPr>
      <w:r>
        <w:t xml:space="preserve">The initial FORKED experimental program was valuable because it exposed the insufficiency of mechanism-only conclusions.</w:t>
      </w:r>
    </w:p>
    <w:bookmarkStart w:id="142" w:name="branch-preserving-interfaces"/>
    <w:p>
      <w:pPr>
        <w:pStyle w:val="Heading3"/>
      </w:pPr>
      <w:r>
        <w:t xml:space="preserve">60.1 Branch-preserving interfaces</w:t>
      </w:r>
    </w:p>
    <w:p>
      <w:pPr>
        <w:pStyle w:val="FirstParagraph"/>
      </w:pPr>
      <w:r>
        <w:t xml:space="preserve">The synthetic branch interface reduced encoded premature closure by approximately 0.039 relative to the point-estimate interface and increased source inspection by approximately 0.252 and challenge by approximately 0.311. It also added about 17.5 seconds of encoded decision time and did not outperform the no-AI synthetic baseline on lawful closure.</w:t>
      </w:r>
      <w:r>
        <w:t xml:space="preserve"> </w:t>
      </w:r>
      <w:hyperlink w:anchor="ref-ForkedExperiments2026">
        <w:r>
          <w:rPr>
            <w:rStyle w:val="Hyperlink"/>
          </w:rPr>
          <w:t xml:space="preserve">[10]</w:t>
        </w:r>
      </w:hyperlink>
    </w:p>
    <w:p>
      <w:pPr>
        <w:pStyle w:val="BodyText"/>
      </w:pPr>
      <w:r>
        <w:t xml:space="preserve">A shallow conclusion would be that branch preservation is too slow. An equally shallow conclusion would be that any reduction in premature closure justifies the cost. The parent interpretation is responsibility-indexed branch budgeting:</w:t>
      </w:r>
    </w:p>
    <w:p>
      <w:pPr>
        <w:pStyle w:val="Compact"/>
        <w:numPr>
          <w:ilvl w:val="0"/>
          <w:numId w:val="1012"/>
        </w:numPr>
      </w:pPr>
      <w:r>
        <w:t xml:space="preserve">preserve full branches for irreversible or constitutional transitions;</w:t>
      </w:r>
    </w:p>
    <w:p>
      <w:pPr>
        <w:pStyle w:val="Compact"/>
        <w:numPr>
          <w:ilvl w:val="0"/>
          <w:numId w:val="1012"/>
        </w:numPr>
      </w:pPr>
      <w:r>
        <w:t xml:space="preserve">use progressive disclosure for material but reversible work;</w:t>
      </w:r>
    </w:p>
    <w:p>
      <w:pPr>
        <w:pStyle w:val="Compact"/>
        <w:numPr>
          <w:ilvl w:val="0"/>
          <w:numId w:val="1012"/>
        </w:numPr>
      </w:pPr>
      <w:r>
        <w:t xml:space="preserve">compress low-consequence branches after receipt and rollback conditions are met;</w:t>
      </w:r>
    </w:p>
    <w:p>
      <w:pPr>
        <w:pStyle w:val="Compact"/>
        <w:numPr>
          <w:ilvl w:val="0"/>
          <w:numId w:val="1012"/>
        </w:numPr>
      </w:pPr>
      <w:r>
        <w:t xml:space="preserve">measure both premature closure and harmful delay;</w:t>
      </w:r>
    </w:p>
    <w:p>
      <w:pPr>
        <w:pStyle w:val="Compact"/>
        <w:numPr>
          <w:ilvl w:val="0"/>
          <w:numId w:val="1012"/>
        </w:numPr>
      </w:pPr>
      <w:r>
        <w:t xml:space="preserve">include human attention as an economic resource.</w:t>
      </w:r>
    </w:p>
    <w:bookmarkEnd w:id="142"/>
    <w:bookmarkStart w:id="143" w:name="fable-splats"/>
    <w:p>
      <w:pPr>
        <w:pStyle w:val="Heading3"/>
      </w:pPr>
      <w:r>
        <w:t xml:space="preserve">60.2 Fable splats</w:t>
      </w:r>
    </w:p>
    <w:p>
      <w:pPr>
        <w:pStyle w:val="FirstParagraph"/>
      </w:pPr>
      <w:r>
        <w:t xml:space="preserve">Synthetic fable frames shifted observer and authority accounting relative to matched plain language, while a misleading metaphor increased overcaution by approximately 0.071. The result establishes the adverse lane in the generator and analysis pipeline. It does not establish a universal human narrative effect.</w:t>
      </w:r>
    </w:p>
    <w:p>
      <w:pPr>
        <w:pStyle w:val="BodyText"/>
      </w:pPr>
      <w:r>
        <w:t xml:space="preserve">The parent correction is not to remove fables. It is to require positive and negative shape conditions, counterfailure topology, cultural and familiarity controls, PONR relevance, deactivation criteria, and non-citable pressure.</w:t>
      </w:r>
    </w:p>
    <w:bookmarkEnd w:id="143"/>
    <w:bookmarkStart w:id="144" w:name="multimodal-lane-preservation"/>
    <w:p>
      <w:pPr>
        <w:pStyle w:val="Heading3"/>
      </w:pPr>
      <w:r>
        <w:t xml:space="preserve">60.3 Multimodal lane preservation</w:t>
      </w:r>
    </w:p>
    <w:p>
      <w:pPr>
        <w:pStyle w:val="FirstParagraph"/>
      </w:pPr>
      <w:r>
        <w:t xml:space="preserve">Lane preservation reduced encoded premature terminal declarations by approximately 0.033 relative to early fusion but increased missed warranted declarations by approximately 0.035 and correction cost. The mechanism must therefore be coupled to the action/delay dual clamp and responsibility class.</w:t>
      </w:r>
    </w:p>
    <w:bookmarkEnd w:id="144"/>
    <w:bookmarkStart w:id="145" w:name="source-time-and-alignment"/>
    <w:p>
      <w:pPr>
        <w:pStyle w:val="Heading3"/>
      </w:pPr>
      <w:r>
        <w:t xml:space="preserve">60.4 Source-time and alignment</w:t>
      </w:r>
    </w:p>
    <w:p>
      <w:pPr>
        <w:pStyle w:val="FirstParagraph"/>
      </w:pPr>
      <w:r>
        <w:t xml:space="preserve">Signed time reduced absolute synthetic skew, but the tested timestamp method did not dominate event-detection F1. Alignment-set reasoning reduced unsupported promotion in some fault regions and increased non-closure under severe timing degradation. The correct architecture retains timing uncertainty and lets the horizon determine whether the residual uncertainty blocks action.</w:t>
      </w:r>
    </w:p>
    <w:bookmarkEnd w:id="145"/>
    <w:bookmarkStart w:id="146" w:name="dag-of-dag-correction"/>
    <w:p>
      <w:pPr>
        <w:pStyle w:val="Heading3"/>
      </w:pPr>
      <w:r>
        <w:t xml:space="preserve">60.5 DAG-of-DAG correction</w:t>
      </w:r>
    </w:p>
    <w:p>
      <w:pPr>
        <w:pStyle w:val="FirstParagraph"/>
      </w:pPr>
      <w:r>
        <w:t xml:space="preserve">Dependency-aware fan-out produced the strongest synthetic effect: correction completeness increased by approximately 0.644 and stale residue fell by approximately 0.259 relative to manual correction. Hidden dependencies remained the main false-stability boundary. The parent therefore adds unknown-edge accounting and residue scans rather than treating the graph as complete.</w:t>
      </w:r>
    </w:p>
    <w:bookmarkEnd w:id="146"/>
    <w:bookmarkStart w:id="147" w:name="deterministic-authority"/>
    <w:p>
      <w:pPr>
        <w:pStyle w:val="Heading3"/>
      </w:pPr>
      <w:r>
        <w:t xml:space="preserve">60.6 Deterministic authority</w:t>
      </w:r>
    </w:p>
    <w:p>
      <w:pPr>
        <w:pStyle w:val="FirstParagraph"/>
      </w:pPr>
      <w:r>
        <w:t xml:space="preserve">Separated authority reduced encoded unauthorized transition and contamination while adding availability and complexity cost. The parent adds graded envelopes, preauthorization, shock absorbers, fail-operational modes, and delay clamps rather than maximizing separation in every lane.</w:t>
      </w:r>
    </w:p>
    <w:bookmarkEnd w:id="147"/>
    <w:bookmarkStart w:id="148" w:name="integrated-stack"/>
    <w:p>
      <w:pPr>
        <w:pStyle w:val="Heading3"/>
      </w:pPr>
      <w:r>
        <w:t xml:space="preserve">60.7 Integrated stack</w:t>
      </w:r>
    </w:p>
    <w:p>
      <w:pPr>
        <w:pStyle w:val="FirstParagraph"/>
      </w:pPr>
      <w:r>
        <w:t xml:space="preserve">The full synthetic FORKED stack improved encoded utility, lawful closure, ledger integrity, and correction residue under compound faults. An over-governed stack performed materially worse in low-fault conditions. The load-bearing result is that</w:t>
      </w:r>
      <w:r>
        <w:t xml:space="preserve"> </w:t>
      </w:r>
      <w:r>
        <w:rPr>
          <w:b/>
          <w:bCs/>
        </w:rPr>
        <w:t xml:space="preserve">more gates are not monotonically safer</w:t>
      </w:r>
      <w:r>
        <w:t xml:space="preserve">. Governance must carry the load actually present.</w:t>
      </w:r>
    </w:p>
    <w:bookmarkEnd w:id="148"/>
    <w:bookmarkEnd w:id="149"/>
    <w:bookmarkStart w:id="175" w:name="native-campaign-results"/>
    <w:p>
      <w:pPr>
        <w:pStyle w:val="Heading2"/>
      </w:pPr>
      <w:r>
        <w:t xml:space="preserve">61. Native campaign results</w:t>
      </w:r>
    </w:p>
    <w:p>
      <w:pPr>
        <w:pStyle w:val="FirstParagraph"/>
      </w:pPr>
      <w:r>
        <w:t xml:space="preserve">The v1.1 native campaign was designed to test central code-path invariants of the completed parent mechanics.</w:t>
      </w:r>
    </w:p>
    <w:bookmarkStart w:id="153" w:name="terrain-shape-versus-recency"/>
    <w:p>
      <w:pPr>
        <w:pStyle w:val="Heading3"/>
      </w:pPr>
      <w:r>
        <w:t xml:space="preserve">61.1 Terrain shape versus recency</w:t>
      </w:r>
    </w:p>
    <w:p>
      <w:pPr>
        <w:pStyle w:val="FirstParagraph"/>
      </w:pPr>
      <w:r>
        <w:t xml:space="preserve">The campaign ran 500 paired cases. The older shape-matched memory ranked above the recent shape-mismatched memory in all 500.</w:t>
      </w:r>
    </w:p>
    <w:p>
      <w:pPr>
        <w:pStyle w:val="CaptionedFigure"/>
      </w:pPr>
      <w:r>
        <w:drawing>
          <wp:inline>
            <wp:extent cx="4617720" cy="3298371"/>
            <wp:effectExtent b="0" l="0" r="0" t="0"/>
            <wp:docPr descr="Figure 18. Native shape-priority benchmark. The result verifies the implemented scoring policy, not universal calibration." title="" id="151" name="Picture"/>
            <a:graphic>
              <a:graphicData uri="http://schemas.openxmlformats.org/drawingml/2006/picture">
                <pic:pic>
                  <pic:nvPicPr>
                    <pic:cNvPr descr="figures/campaign_terrain_shape_vs_recency.png" id="152" name="Picture"/>
                    <pic:cNvPicPr>
                      <a:picLocks noChangeArrowheads="1" noChangeAspect="1"/>
                    </pic:cNvPicPr>
                  </pic:nvPicPr>
                  <pic:blipFill>
                    <a:blip r:embed="rId150"/>
                    <a:stretch>
                      <a:fillRect/>
                    </a:stretch>
                  </pic:blipFill>
                  <pic:spPr bwMode="auto">
                    <a:xfrm>
                      <a:off x="0" y="0"/>
                      <a:ext cx="4617720" cy="3298371"/>
                    </a:xfrm>
                    <a:prstGeom prst="rect">
                      <a:avLst/>
                    </a:prstGeom>
                    <a:noFill/>
                    <a:ln w="9525">
                      <a:noFill/>
                      <a:headEnd/>
                      <a:tailEnd/>
                    </a:ln>
                  </pic:spPr>
                </pic:pic>
              </a:graphicData>
            </a:graphic>
          </wp:inline>
        </w:drawing>
      </w:r>
    </w:p>
    <w:p>
      <w:pPr>
        <w:pStyle w:val="ImageCaption"/>
      </w:pPr>
      <w:r>
        <w:t xml:space="preserve">Figure 18. Native shape-priority benchmark. The result verifies the implemented scoring policy, not universal calibration.</w:t>
      </w:r>
    </w:p>
    <w:bookmarkEnd w:id="153"/>
    <w:bookmarkStart w:id="157" w:name="threshold-and-human-agency-campaign"/>
    <w:p>
      <w:pPr>
        <w:pStyle w:val="Heading3"/>
      </w:pPr>
      <w:r>
        <w:t xml:space="preserve">61.2 Threshold and human-agency campaign</w:t>
      </w:r>
    </w:p>
    <w:p>
      <w:pPr>
        <w:pStyle w:val="FirstParagraph"/>
      </w:pPr>
      <w:r>
        <w:t xml:space="preserve">The campaign ran 1,200 validation frames:</w:t>
      </w:r>
    </w:p>
    <w:p>
      <w:pPr>
        <w:pStyle w:val="SourceCode"/>
      </w:pPr>
      <w:r>
        <w:rPr>
          <w:rStyle w:val="VerbatimChar"/>
        </w:rPr>
        <w:t xml:space="preserve">declare 25</w:t>
      </w:r>
      <w:r>
        <w:br/>
      </w:r>
      <w:r>
        <w:rPr>
          <w:rStyle w:val="VerbatimChar"/>
        </w:rPr>
        <w:t xml:space="preserve">hold 531</w:t>
      </w:r>
      <w:r>
        <w:br/>
      </w:r>
      <w:r>
        <w:rPr>
          <w:rStyle w:val="VerbatimChar"/>
        </w:rPr>
        <w:t xml:space="preserve">review 571</w:t>
      </w:r>
      <w:r>
        <w:br/>
      </w:r>
      <w:r>
        <w:rPr>
          <w:rStyle w:val="VerbatimChar"/>
        </w:rPr>
        <w:t xml:space="preserve">refuse 73</w:t>
      </w:r>
    </w:p>
    <w:p>
      <w:pPr>
        <w:pStyle w:val="FirstParagraph"/>
      </w:pPr>
      <w:r>
        <w:t xml:space="preserve">No synthetic declaration occurred with invalid authority, nominal-only human approval, or an expired unresolved hold.</w:t>
      </w:r>
    </w:p>
    <w:p>
      <w:pPr>
        <w:pStyle w:val="CaptionedFigure"/>
      </w:pPr>
      <w:r>
        <w:drawing>
          <wp:inline>
            <wp:extent cx="4617720" cy="3298371"/>
            <wp:effectExtent b="0" l="0" r="0" t="0"/>
            <wp:docPr descr="Figure 19. Native threshold decisions across generated validation frames." title="" id="155" name="Picture"/>
            <a:graphic>
              <a:graphicData uri="http://schemas.openxmlformats.org/drawingml/2006/picture">
                <pic:pic>
                  <pic:nvPicPr>
                    <pic:cNvPr descr="figures/campaign_threshold_decisions.png" id="156" name="Picture"/>
                    <pic:cNvPicPr>
                      <a:picLocks noChangeArrowheads="1" noChangeAspect="1"/>
                    </pic:cNvPicPr>
                  </pic:nvPicPr>
                  <pic:blipFill>
                    <a:blip r:embed="rId154"/>
                    <a:stretch>
                      <a:fillRect/>
                    </a:stretch>
                  </pic:blipFill>
                  <pic:spPr bwMode="auto">
                    <a:xfrm>
                      <a:off x="0" y="0"/>
                      <a:ext cx="4617720" cy="3298371"/>
                    </a:xfrm>
                    <a:prstGeom prst="rect">
                      <a:avLst/>
                    </a:prstGeom>
                    <a:noFill/>
                    <a:ln w="9525">
                      <a:noFill/>
                      <a:headEnd/>
                      <a:tailEnd/>
                    </a:ln>
                  </pic:spPr>
                </pic:pic>
              </a:graphicData>
            </a:graphic>
          </wp:inline>
        </w:drawing>
      </w:r>
    </w:p>
    <w:p>
      <w:pPr>
        <w:pStyle w:val="ImageCaption"/>
      </w:pPr>
      <w:r>
        <w:t xml:space="preserve">Figure 19. Native threshold decisions across generated validation frames.</w:t>
      </w:r>
    </w:p>
    <w:bookmarkEnd w:id="157"/>
    <w:bookmarkStart w:id="161" w:name="dag-false-stability"/>
    <w:p>
      <w:pPr>
        <w:pStyle w:val="Heading3"/>
      </w:pPr>
      <w:r>
        <w:t xml:space="preserve">61.3 DAG false stability</w:t>
      </w:r>
    </w:p>
    <w:p>
      <w:pPr>
        <w:pStyle w:val="FirstParagraph"/>
      </w:pPr>
      <w:r>
        <w:t xml:space="preserve">The campaign ran 250 graphs with injected hidden joins. Detection and repair stabilization were both 1.0 under that generator.</w:t>
      </w:r>
    </w:p>
    <w:p>
      <w:pPr>
        <w:pStyle w:val="CaptionedFigure"/>
      </w:pPr>
      <w:r>
        <w:drawing>
          <wp:inline>
            <wp:extent cx="4489450" cy="3206750"/>
            <wp:effectExtent b="0" l="0" r="0" t="0"/>
            <wp:docPr descr="Figure 20. Hidden-join detection and repair in the native graph campaign." title="" id="159" name="Picture"/>
            <a:graphic>
              <a:graphicData uri="http://schemas.openxmlformats.org/drawingml/2006/picture">
                <pic:pic>
                  <pic:nvPicPr>
                    <pic:cNvPr descr="figures/campaign_graph_detection_repair.png" id="160" name="Picture"/>
                    <pic:cNvPicPr>
                      <a:picLocks noChangeArrowheads="1" noChangeAspect="1"/>
                    </pic:cNvPicPr>
                  </pic:nvPicPr>
                  <pic:blipFill>
                    <a:blip r:embed="rId158"/>
                    <a:stretch>
                      <a:fillRect/>
                    </a:stretch>
                  </pic:blipFill>
                  <pic:spPr bwMode="auto">
                    <a:xfrm>
                      <a:off x="0" y="0"/>
                      <a:ext cx="4489450" cy="3206750"/>
                    </a:xfrm>
                    <a:prstGeom prst="rect">
                      <a:avLst/>
                    </a:prstGeom>
                    <a:noFill/>
                    <a:ln w="9525">
                      <a:noFill/>
                      <a:headEnd/>
                      <a:tailEnd/>
                    </a:ln>
                  </pic:spPr>
                </pic:pic>
              </a:graphicData>
            </a:graphic>
          </wp:inline>
        </w:drawing>
      </w:r>
    </w:p>
    <w:p>
      <w:pPr>
        <w:pStyle w:val="ImageCaption"/>
      </w:pPr>
      <w:r>
        <w:t xml:space="preserve">Figure 20. Hidden-join detection and repair in the native graph campaign.</w:t>
      </w:r>
    </w:p>
    <w:bookmarkEnd w:id="161"/>
    <w:bookmarkStart w:id="165" w:name="fable-field"/>
    <w:p>
      <w:pPr>
        <w:pStyle w:val="Heading3"/>
      </w:pPr>
      <w:r>
        <w:t xml:space="preserve">61.4 Fable field</w:t>
      </w:r>
    </w:p>
    <w:p>
      <w:pPr>
        <w:pStyle w:val="FirstParagraph"/>
      </w:pPr>
      <w:r>
        <w:t xml:space="preserve">The field processed 1,000 random eight-dimensional queries. Maximum mixture normalization error was approximately</w:t>
      </w:r>
      <w:r>
        <w:t xml:space="preserve"> </w:t>
      </w:r>
      <w:r>
        <w:rPr>
          <w:rStyle w:val="VerbatimChar"/>
        </w:rPr>
        <w:t xml:space="preserve">2.22e-16</w:t>
      </w:r>
      <w:r>
        <w:t xml:space="preserve">, mean maximum weight was</w:t>
      </w:r>
      <w:r>
        <w:t xml:space="preserve"> </w:t>
      </w:r>
      <w:r>
        <w:rPr>
          <w:rStyle w:val="VerbatimChar"/>
        </w:rPr>
        <w:t xml:space="preserve">0.601</w:t>
      </w:r>
      <w:r>
        <w:t xml:space="preserve">, epsilon caution expression fired in</w:t>
      </w:r>
      <w:r>
        <w:t xml:space="preserve"> </w:t>
      </w:r>
      <w:r>
        <w:rPr>
          <w:rStyle w:val="VerbatimChar"/>
        </w:rPr>
        <w:t xml:space="preserve">0.872</w:t>
      </w:r>
      <w:r>
        <w:t xml:space="preserve"> </w:t>
      </w:r>
      <w:r>
        <w:t xml:space="preserve">of cases, and the longitudinal inversion layer marked an inversion in</w:t>
      </w:r>
      <w:r>
        <w:t xml:space="preserve"> </w:t>
      </w:r>
      <w:r>
        <w:rPr>
          <w:rStyle w:val="VerbatimChar"/>
        </w:rPr>
        <w:t xml:space="preserve">0.258</w:t>
      </w:r>
      <w:r>
        <w:t xml:space="preserve">.</w:t>
      </w:r>
    </w:p>
    <w:p>
      <w:pPr>
        <w:pStyle w:val="CaptionedFigure"/>
      </w:pPr>
      <w:r>
        <w:drawing>
          <wp:inline>
            <wp:extent cx="4617720" cy="3298371"/>
            <wp:effectExtent b="0" l="0" r="0" t="0"/>
            <wp:docPr descr="Figure 21. Distribution of the largest fable-mixture weight. The field does not collapse to a universal one-hot class." title="" id="163" name="Picture"/>
            <a:graphic>
              <a:graphicData uri="http://schemas.openxmlformats.org/drawingml/2006/picture">
                <pic:pic>
                  <pic:nvPicPr>
                    <pic:cNvPr descr="figures/campaign_fable_mixture_max_weight.png" id="164" name="Picture"/>
                    <pic:cNvPicPr>
                      <a:picLocks noChangeArrowheads="1" noChangeAspect="1"/>
                    </pic:cNvPicPr>
                  </pic:nvPicPr>
                  <pic:blipFill>
                    <a:blip r:embed="rId162"/>
                    <a:stretch>
                      <a:fillRect/>
                    </a:stretch>
                  </pic:blipFill>
                  <pic:spPr bwMode="auto">
                    <a:xfrm>
                      <a:off x="0" y="0"/>
                      <a:ext cx="4617720" cy="3298371"/>
                    </a:xfrm>
                    <a:prstGeom prst="rect">
                      <a:avLst/>
                    </a:prstGeom>
                    <a:noFill/>
                    <a:ln w="9525">
                      <a:noFill/>
                      <a:headEnd/>
                      <a:tailEnd/>
                    </a:ln>
                  </pic:spPr>
                </pic:pic>
              </a:graphicData>
            </a:graphic>
          </wp:inline>
        </w:drawing>
      </w:r>
    </w:p>
    <w:p>
      <w:pPr>
        <w:pStyle w:val="ImageCaption"/>
      </w:pPr>
      <w:r>
        <w:t xml:space="preserve">Figure 21. Distribution of the largest fable-mixture weight. The field does not collapse to a universal one-hot class.</w:t>
      </w:r>
    </w:p>
    <w:bookmarkEnd w:id="165"/>
    <w:bookmarkStart w:id="169" w:name="biome"/>
    <w:p>
      <w:pPr>
        <w:pStyle w:val="Heading3"/>
      </w:pPr>
      <w:r>
        <w:t xml:space="preserve">61.5 Biome</w:t>
      </w:r>
    </w:p>
    <w:p>
      <w:pPr>
        <w:pStyle w:val="FirstParagraph"/>
      </w:pPr>
      <w:r>
        <w:t xml:space="preserve">Thirty-two cohorts completed all fifty cycles and four acts. No cohort tripped the encoded invariant-failure condition. Mean final diversity was approximately</w:t>
      </w:r>
      <w:r>
        <w:t xml:space="preserve"> </w:t>
      </w:r>
      <w:r>
        <w:rPr>
          <w:rStyle w:val="VerbatimChar"/>
        </w:rPr>
        <w:t xml:space="preserve">0.922</w:t>
      </w:r>
      <w:r>
        <w:t xml:space="preserve">, mean graduated visitors</w:t>
      </w:r>
      <w:r>
        <w:t xml:space="preserve"> </w:t>
      </w:r>
      <w:r>
        <w:rPr>
          <w:rStyle w:val="VerbatimChar"/>
        </w:rPr>
        <w:t xml:space="preserve">21.375</w:t>
      </w:r>
      <w:r>
        <w:t xml:space="preserve">, and mean rationalization flags</w:t>
      </w:r>
      <w:r>
        <w:t xml:space="preserve"> </w:t>
      </w:r>
      <w:r>
        <w:rPr>
          <w:rStyle w:val="VerbatimChar"/>
        </w:rPr>
        <w:t xml:space="preserve">4.25</w:t>
      </w:r>
      <w:r>
        <w:t xml:space="preserve">.</w:t>
      </w:r>
    </w:p>
    <w:p>
      <w:pPr>
        <w:pStyle w:val="CaptionedFigure"/>
      </w:pPr>
      <w:r>
        <w:drawing>
          <wp:inline>
            <wp:extent cx="5259070" cy="3506046"/>
            <wp:effectExtent b="0" l="0" r="0" t="0"/>
            <wp:docPr descr="Figure 22. Biome health curves across the four-act synthetic cohorts." title="" id="167" name="Picture"/>
            <a:graphic>
              <a:graphicData uri="http://schemas.openxmlformats.org/drawingml/2006/picture">
                <pic:pic>
                  <pic:nvPicPr>
                    <pic:cNvPr descr="figures/campaign_biome_health_curves.png" id="168" name="Picture"/>
                    <pic:cNvPicPr>
                      <a:picLocks noChangeArrowheads="1" noChangeAspect="1"/>
                    </pic:cNvPicPr>
                  </pic:nvPicPr>
                  <pic:blipFill>
                    <a:blip r:embed="rId166"/>
                    <a:stretch>
                      <a:fillRect/>
                    </a:stretch>
                  </pic:blipFill>
                  <pic:spPr bwMode="auto">
                    <a:xfrm>
                      <a:off x="0" y="0"/>
                      <a:ext cx="5259070" cy="3506046"/>
                    </a:xfrm>
                    <a:prstGeom prst="rect">
                      <a:avLst/>
                    </a:prstGeom>
                    <a:noFill/>
                    <a:ln w="9525">
                      <a:noFill/>
                      <a:headEnd/>
                      <a:tailEnd/>
                    </a:ln>
                  </pic:spPr>
                </pic:pic>
              </a:graphicData>
            </a:graphic>
          </wp:inline>
        </w:drawing>
      </w:r>
    </w:p>
    <w:p>
      <w:pPr>
        <w:pStyle w:val="ImageCaption"/>
      </w:pPr>
      <w:r>
        <w:t xml:space="preserve">Figure 22. Biome health curves across the four-act synthetic cohorts.</w:t>
      </w:r>
    </w:p>
    <w:bookmarkEnd w:id="169"/>
    <w:bookmarkStart w:id="173" w:name="hunger"/>
    <w:p>
      <w:pPr>
        <w:pStyle w:val="Heading3"/>
      </w:pPr>
      <w:r>
        <w:t xml:space="preserve">61.6 HUNGER</w:t>
      </w:r>
    </w:p>
    <w:p>
      <w:pPr>
        <w:pStyle w:val="FirstParagraph"/>
      </w:pPr>
      <w:r>
        <w:t xml:space="preserve">Sixty-four seeds completed the seven-tic range. Mean normalized symbolic efficiency was approximately</w:t>
      </w:r>
      <w:r>
        <w:t xml:space="preserve"> </w:t>
      </w:r>
      <w:r>
        <w:rPr>
          <w:rStyle w:val="VerbatimChar"/>
        </w:rPr>
        <w:t xml:space="preserve">0.371</w:t>
      </w:r>
      <w:r>
        <w:t xml:space="preserve">; mean substrate efficiency was approximately</w:t>
      </w:r>
      <w:r>
        <w:t xml:space="preserve"> </w:t>
      </w:r>
      <w:r>
        <w:rPr>
          <w:rStyle w:val="VerbatimChar"/>
        </w:rPr>
        <w:t xml:space="preserve">2.144</w:t>
      </w:r>
      <w:r>
        <w:t xml:space="preserve">; substrate efficiency exceeded symbolic efficiency in every encoded run. Raw net values use different accounting and are not directly comparable.</w:t>
      </w:r>
    </w:p>
    <w:p>
      <w:pPr>
        <w:pStyle w:val="CaptionedFigure"/>
      </w:pPr>
      <w:r>
        <w:drawing>
          <wp:inline>
            <wp:extent cx="4874260" cy="3481614"/>
            <wp:effectExtent b="0" l="0" r="0" t="0"/>
            <wp:docPr descr="Figure 23. Normalized symbolic and substrate efficiency in HUNGER." title="" id="171" name="Picture"/>
            <a:graphic>
              <a:graphicData uri="http://schemas.openxmlformats.org/drawingml/2006/picture">
                <pic:pic>
                  <pic:nvPicPr>
                    <pic:cNvPr descr="figures/campaign_hunger_symbolic_vs_substrate.png" id="172" name="Picture"/>
                    <pic:cNvPicPr>
                      <a:picLocks noChangeArrowheads="1" noChangeAspect="1"/>
                    </pic:cNvPicPr>
                  </pic:nvPicPr>
                  <pic:blipFill>
                    <a:blip r:embed="rId170"/>
                    <a:stretch>
                      <a:fillRect/>
                    </a:stretch>
                  </pic:blipFill>
                  <pic:spPr bwMode="auto">
                    <a:xfrm>
                      <a:off x="0" y="0"/>
                      <a:ext cx="4874260" cy="3481614"/>
                    </a:xfrm>
                    <a:prstGeom prst="rect">
                      <a:avLst/>
                    </a:prstGeom>
                    <a:noFill/>
                    <a:ln w="9525">
                      <a:noFill/>
                      <a:headEnd/>
                      <a:tailEnd/>
                    </a:ln>
                  </pic:spPr>
                </pic:pic>
              </a:graphicData>
            </a:graphic>
          </wp:inline>
        </w:drawing>
      </w:r>
    </w:p>
    <w:p>
      <w:pPr>
        <w:pStyle w:val="ImageCaption"/>
      </w:pPr>
      <w:r>
        <w:t xml:space="preserve">Figure 23. Normalized symbolic and substrate efficiency in HUNGER.</w:t>
      </w:r>
    </w:p>
    <w:bookmarkEnd w:id="173"/>
    <w:bookmarkStart w:id="174" w:name="economy"/>
    <w:p>
      <w:pPr>
        <w:pStyle w:val="Heading3"/>
      </w:pPr>
      <w:r>
        <w:t xml:space="preserve">61.7 Economy</w:t>
      </w:r>
    </w:p>
    <w:p>
      <w:pPr>
        <w:pStyle w:val="FirstParagraph"/>
      </w:pPr>
      <w:r>
        <w:t xml:space="preserve">The four supplied component selftests passed. The federal anchor remained frozen, the shadow membrane held, and pricing remained non-speculative across the local sweep.</w:t>
      </w:r>
    </w:p>
    <w:bookmarkEnd w:id="174"/>
    <w:bookmarkEnd w:id="175"/>
    <w:bookmarkStart w:id="176" w:name="what-the-current-evidence-establishes"/>
    <w:p>
      <w:pPr>
        <w:pStyle w:val="Heading2"/>
      </w:pPr>
      <w:r>
        <w:t xml:space="preserve">62. What the current evidence establishes</w:t>
      </w:r>
    </w:p>
    <w:p>
      <w:pPr>
        <w:pStyle w:val="FirstParagraph"/>
      </w:pPr>
      <w:r>
        <w:t xml:space="preserve">The current evidence establishes:</w:t>
      </w:r>
    </w:p>
    <w:p>
      <w:pPr>
        <w:pStyle w:val="Compact"/>
        <w:numPr>
          <w:ilvl w:val="0"/>
          <w:numId w:val="1013"/>
        </w:numPr>
      </w:pPr>
      <w:r>
        <w:t xml:space="preserve">the parent-to-estate boundary is executable;</w:t>
      </w:r>
    </w:p>
    <w:p>
      <w:pPr>
        <w:pStyle w:val="Compact"/>
        <w:numPr>
          <w:ilvl w:val="0"/>
          <w:numId w:val="1013"/>
        </w:numPr>
      </w:pPr>
      <w:r>
        <w:t xml:space="preserve">the held-open center is structurally excluded in the native objects;</w:t>
      </w:r>
    </w:p>
    <w:p>
      <w:pPr>
        <w:pStyle w:val="Compact"/>
        <w:numPr>
          <w:ilvl w:val="0"/>
          <w:numId w:val="1013"/>
        </w:numPr>
      </w:pPr>
      <w:r>
        <w:t xml:space="preserve">the natural-language projection remains bound to the lattice;</w:t>
      </w:r>
    </w:p>
    <w:p>
      <w:pPr>
        <w:pStyle w:val="Compact"/>
        <w:numPr>
          <w:ilvl w:val="0"/>
          <w:numId w:val="1013"/>
        </w:numPr>
      </w:pPr>
      <w:r>
        <w:t xml:space="preserve">the shape-priority policy is implemented;</w:t>
      </w:r>
    </w:p>
    <w:p>
      <w:pPr>
        <w:pStyle w:val="Compact"/>
        <w:numPr>
          <w:ilvl w:val="0"/>
          <w:numId w:val="1013"/>
        </w:numPr>
      </w:pPr>
      <w:r>
        <w:t xml:space="preserve">suspension has a governed exit;</w:t>
      </w:r>
    </w:p>
    <w:p>
      <w:pPr>
        <w:pStyle w:val="Compact"/>
        <w:numPr>
          <w:ilvl w:val="0"/>
          <w:numId w:val="1013"/>
        </w:numPr>
      </w:pPr>
      <w:r>
        <w:t xml:space="preserve">nominal agency and absent authority cannot pass the tested declaration paths;</w:t>
      </w:r>
    </w:p>
    <w:p>
      <w:pPr>
        <w:pStyle w:val="Compact"/>
        <w:numPr>
          <w:ilvl w:val="0"/>
          <w:numId w:val="1013"/>
        </w:numPr>
      </w:pPr>
      <w:r>
        <w:t xml:space="preserve">hidden joins can block stabilization in the encoded graph family;</w:t>
      </w:r>
    </w:p>
    <w:p>
      <w:pPr>
        <w:pStyle w:val="Compact"/>
        <w:numPr>
          <w:ilvl w:val="0"/>
          <w:numId w:val="1013"/>
        </w:numPr>
      </w:pPr>
      <w:r>
        <w:t xml:space="preserve">correction fan-out is represented;</w:t>
      </w:r>
    </w:p>
    <w:p>
      <w:pPr>
        <w:pStyle w:val="Compact"/>
        <w:numPr>
          <w:ilvl w:val="0"/>
          <w:numId w:val="1013"/>
        </w:numPr>
      </w:pPr>
      <w:r>
        <w:t xml:space="preserve">source artifacts and derived results are hashed and reproducible;</w:t>
      </w:r>
    </w:p>
    <w:p>
      <w:pPr>
        <w:pStyle w:val="Compact"/>
        <w:numPr>
          <w:ilvl w:val="0"/>
          <w:numId w:val="1013"/>
        </w:numPr>
      </w:pPr>
      <w:r>
        <w:t xml:space="preserve">HUNGER, biome, sensory, cache, lifecycle, and economy lanes execute locally.</w:t>
      </w:r>
    </w:p>
    <w:p>
      <w:pPr>
        <w:pStyle w:val="FirstParagraph"/>
      </w:pPr>
      <w:r>
        <w:t xml:space="preserve">It does not establish:</w:t>
      </w:r>
    </w:p>
    <w:p>
      <w:pPr>
        <w:pStyle w:val="Compact"/>
        <w:numPr>
          <w:ilvl w:val="0"/>
          <w:numId w:val="1014"/>
        </w:numPr>
      </w:pPr>
      <w:r>
        <w:t xml:space="preserve">human behavioral effects;</w:t>
      </w:r>
    </w:p>
    <w:p>
      <w:pPr>
        <w:pStyle w:val="Compact"/>
        <w:numPr>
          <w:ilvl w:val="0"/>
          <w:numId w:val="1014"/>
        </w:numPr>
      </w:pPr>
      <w:r>
        <w:t xml:space="preserve">physical carrier performance;</w:t>
      </w:r>
    </w:p>
    <w:p>
      <w:pPr>
        <w:pStyle w:val="Compact"/>
        <w:numPr>
          <w:ilvl w:val="0"/>
          <w:numId w:val="1014"/>
        </w:numPr>
      </w:pPr>
      <w:r>
        <w:t xml:space="preserve">field sensor performance;</w:t>
      </w:r>
    </w:p>
    <w:p>
      <w:pPr>
        <w:pStyle w:val="Compact"/>
        <w:numPr>
          <w:ilvl w:val="0"/>
          <w:numId w:val="1014"/>
        </w:numPr>
      </w:pPr>
      <w:r>
        <w:t xml:space="preserve">hardware isolation or root-of-trust properties;</w:t>
      </w:r>
    </w:p>
    <w:p>
      <w:pPr>
        <w:pStyle w:val="Compact"/>
        <w:numPr>
          <w:ilvl w:val="0"/>
          <w:numId w:val="1014"/>
        </w:numPr>
      </w:pPr>
      <w:r>
        <w:t xml:space="preserve">universal threshold calibration;</w:t>
      </w:r>
    </w:p>
    <w:p>
      <w:pPr>
        <w:pStyle w:val="Compact"/>
        <w:numPr>
          <w:ilvl w:val="0"/>
          <w:numId w:val="1014"/>
        </w:numPr>
      </w:pPr>
      <w:r>
        <w:t xml:space="preserve">customer economics;</w:t>
      </w:r>
    </w:p>
    <w:p>
      <w:pPr>
        <w:pStyle w:val="Compact"/>
        <w:numPr>
          <w:ilvl w:val="0"/>
          <w:numId w:val="1014"/>
        </w:numPr>
      </w:pPr>
      <w:r>
        <w:t xml:space="preserve">strategic or operational outcome improvement;</w:t>
      </w:r>
    </w:p>
    <w:p>
      <w:pPr>
        <w:pStyle w:val="Compact"/>
        <w:numPr>
          <w:ilvl w:val="0"/>
          <w:numId w:val="1014"/>
        </w:numPr>
      </w:pPr>
      <w:r>
        <w:t xml:space="preserve">cultural universality of fable terrain;</w:t>
      </w:r>
    </w:p>
    <w:p>
      <w:pPr>
        <w:pStyle w:val="Compact"/>
        <w:numPr>
          <w:ilvl w:val="0"/>
          <w:numId w:val="1014"/>
        </w:numPr>
      </w:pPr>
      <w:r>
        <w:t xml:space="preserve">canonical Ubiquity absorption of the local package.</w:t>
      </w:r>
    </w:p>
    <w:p>
      <w:pPr>
        <w:pStyle w:val="FirstParagraph"/>
      </w:pPr>
      <w:r>
        <w:t xml:space="preserve">This is not hedging where capability exists. It is the exact scope of the receipts.</w:t>
      </w:r>
    </w:p>
    <w:bookmarkEnd w:id="176"/>
    <w:bookmarkStart w:id="189" w:name="range-benchmark-families"/>
    <w:p>
      <w:pPr>
        <w:pStyle w:val="Heading2"/>
      </w:pPr>
      <w:r>
        <w:t xml:space="preserve">63. Range benchmark families</w:t>
      </w:r>
    </w:p>
    <w:p>
      <w:pPr>
        <w:pStyle w:val="FirstParagraph"/>
      </w:pPr>
      <w:r>
        <w:t xml:space="preserve">A complete FORKED benchmark program includes twelve families.</w:t>
      </w:r>
    </w:p>
    <w:bookmarkStart w:id="177" w:name="branch-closure"/>
    <w:p>
      <w:pPr>
        <w:pStyle w:val="Heading3"/>
      </w:pPr>
      <w:r>
        <w:t xml:space="preserve">63.1 Branch closure</w:t>
      </w:r>
    </w:p>
    <w:p>
      <w:pPr>
        <w:pStyle w:val="FirstParagraph"/>
      </w:pPr>
      <w:r>
        <w:t xml:space="preserve">Measure premature closure, warranted declaration, trauma-driven hold, source inspection, challenge, correction, workload, and decision time across responsibility classes.</w:t>
      </w:r>
    </w:p>
    <w:bookmarkEnd w:id="177"/>
    <w:bookmarkStart w:id="178" w:name="authority-capture"/>
    <w:p>
      <w:pPr>
        <w:pStyle w:val="Heading3"/>
      </w:pPr>
      <w:r>
        <w:t xml:space="preserve">63.2 Authority capture</w:t>
      </w:r>
    </w:p>
    <w:p>
      <w:pPr>
        <w:pStyle w:val="FirstParagraph"/>
      </w:pPr>
      <w:r>
        <w:t xml:space="preserve">Vary defaults, confidence theater, option order, source visibility, and time pressure. Measure whether the nominal human retained meaningful agency.</w:t>
      </w:r>
    </w:p>
    <w:bookmarkEnd w:id="178"/>
    <w:bookmarkStart w:id="179" w:name="fable-terrain"/>
    <w:p>
      <w:pPr>
        <w:pStyle w:val="Heading3"/>
      </w:pPr>
      <w:r>
        <w:t xml:space="preserve">63.3 Fable terrain</w:t>
      </w:r>
    </w:p>
    <w:p>
      <w:pPr>
        <w:pStyle w:val="FirstParagraph"/>
      </w:pPr>
      <w:r>
        <w:t xml:space="preserve">Compare matched fable, plain-language, neutral-metaphor, misleading-metaphor, culturally unfamiliar, and no-frame conditions. Track both insight and overcaution.</w:t>
      </w:r>
    </w:p>
    <w:bookmarkEnd w:id="179"/>
    <w:bookmarkStart w:id="180" w:name="observer-indexed-carriers-1"/>
    <w:p>
      <w:pPr>
        <w:pStyle w:val="Heading3"/>
      </w:pPr>
      <w:r>
        <w:t xml:space="preserve">63.4 Observer-indexed carriers</w:t>
      </w:r>
    </w:p>
    <w:p>
      <w:pPr>
        <w:pStyle w:val="FirstParagraph"/>
      </w:pPr>
      <w:r>
        <w:t xml:space="preserve">Test cooperative human/machine messages under distance, blur, compression, display, print, accessibility, and sensor transformations. Require canonical reconciliation.</w:t>
      </w:r>
    </w:p>
    <w:bookmarkEnd w:id="180"/>
    <w:bookmarkStart w:id="181" w:name="multimodal-disagreement"/>
    <w:p>
      <w:pPr>
        <w:pStyle w:val="Heading3"/>
      </w:pPr>
      <w:r>
        <w:t xml:space="preserve">63.5 Multimodal disagreement</w:t>
      </w:r>
    </w:p>
    <w:p>
      <w:pPr>
        <w:pStyle w:val="FirstParagraph"/>
      </w:pPr>
      <w:r>
        <w:t xml:space="preserve">Inject modality conflicts, timing skew, occlusion, calibration drift, and replay. Compare early fusion, late fusion, lane preservation, and alignment-set methods.</w:t>
      </w:r>
    </w:p>
    <w:bookmarkEnd w:id="181"/>
    <w:bookmarkStart w:id="182" w:name="source-time"/>
    <w:p>
      <w:pPr>
        <w:pStyle w:val="Heading3"/>
      </w:pPr>
      <w:r>
        <w:t xml:space="preserve">63.6 Source-time</w:t>
      </w:r>
    </w:p>
    <w:p>
      <w:pPr>
        <w:pStyle w:val="FirstParagraph"/>
      </w:pPr>
      <w:r>
        <w:t xml:space="preserve">Test valid-time, transaction-time, replay, stale canonical intent, clock drift, and correction arriving after action.</w:t>
      </w:r>
    </w:p>
    <w:bookmarkEnd w:id="182"/>
    <w:bookmarkStart w:id="183" w:name="dag-false-stability-1"/>
    <w:p>
      <w:pPr>
        <w:pStyle w:val="Heading3"/>
      </w:pPr>
      <w:r>
        <w:t xml:space="preserve">63.7 DAG false stability</w:t>
      </w:r>
    </w:p>
    <w:p>
      <w:pPr>
        <w:pStyle w:val="FirstParagraph"/>
      </w:pPr>
      <w:r>
        <w:t xml:space="preserve">Generate hidden joins, unreceipted dependencies, stale protected nodes, human-memory edges, and external horizon effects.</w:t>
      </w:r>
    </w:p>
    <w:bookmarkEnd w:id="183"/>
    <w:bookmarkStart w:id="184" w:name="suspension-symmetry"/>
    <w:p>
      <w:pPr>
        <w:pStyle w:val="Heading3"/>
      </w:pPr>
      <w:r>
        <w:t xml:space="preserve">63.8 Suspension symmetry</w:t>
      </w:r>
    </w:p>
    <w:p>
      <w:pPr>
        <w:pStyle w:val="FirstParagraph"/>
      </w:pPr>
      <w:r>
        <w:t xml:space="preserve">Measure both action failures and delay failures. Test hold expiry, review quality, refusal, bounded action, and reopen.</w:t>
      </w:r>
    </w:p>
    <w:bookmarkEnd w:id="184"/>
    <w:bookmarkStart w:id="185" w:name="human-agency"/>
    <w:p>
      <w:pPr>
        <w:pStyle w:val="Heading3"/>
      </w:pPr>
      <w:r>
        <w:t xml:space="preserve">63.9 Human agency</w:t>
      </w:r>
    </w:p>
    <w:p>
      <w:pPr>
        <w:pStyle w:val="FirstParagraph"/>
      </w:pPr>
      <w:r>
        <w:t xml:space="preserve">Operationalize inspection, challenge, alternatives, delay, reversal, correction, vocabulary independence, and liability awareness.</w:t>
      </w:r>
    </w:p>
    <w:bookmarkEnd w:id="185"/>
    <w:bookmarkStart w:id="186" w:name="ecological-constitutional-physics"/>
    <w:p>
      <w:pPr>
        <w:pStyle w:val="Heading3"/>
      </w:pPr>
      <w:r>
        <w:t xml:space="preserve">63.10 Ecological constitutional physics</w:t>
      </w:r>
    </w:p>
    <w:p>
      <w:pPr>
        <w:pStyle w:val="FirstParagraph"/>
      </w:pPr>
      <w:r>
        <w:t xml:space="preserve">Run calibrated cohorts through expansion, pruning, pairing, and dispersal. Measure diversity, monopoly, mutualism, rationalization, standing, and transfer.</w:t>
      </w:r>
    </w:p>
    <w:bookmarkEnd w:id="186"/>
    <w:bookmarkStart w:id="187" w:name="economic-membranes"/>
    <w:p>
      <w:pPr>
        <w:pStyle w:val="Heading3"/>
      </w:pPr>
      <w:r>
        <w:t xml:space="preserve">63.11 Economic membranes</w:t>
      </w:r>
    </w:p>
    <w:p>
      <w:pPr>
        <w:pStyle w:val="FirstParagraph"/>
      </w:pPr>
      <w:r>
        <w:t xml:space="preserve">Stress mint, burn, reserve, rate, shadow coupling, anchor degradation, pricing, cadence, and budget boundaries.</w:t>
      </w:r>
    </w:p>
    <w:bookmarkEnd w:id="187"/>
    <w:bookmarkStart w:id="188" w:name="parent-gated-estate-integration"/>
    <w:p>
      <w:pPr>
        <w:pStyle w:val="Heading3"/>
      </w:pPr>
      <w:r>
        <w:t xml:space="preserve">63.12 Parent-gated estate integration</w:t>
      </w:r>
    </w:p>
    <w:p>
      <w:pPr>
        <w:pStyle w:val="FirstParagraph"/>
      </w:pPr>
      <w:r>
        <w:t xml:space="preserve">Integrate independently built estate modules and measure whether parent gates reduce false completion without imposing unacceptable coordination cost.</w:t>
      </w:r>
    </w:p>
    <w:bookmarkEnd w:id="188"/>
    <w:bookmarkEnd w:id="189"/>
    <w:bookmarkStart w:id="190" w:name="hardware-in-the-loop-architecture"/>
    <w:p>
      <w:pPr>
        <w:pStyle w:val="Heading2"/>
      </w:pPr>
      <w:r>
        <w:t xml:space="preserve">64. Hardware-in-the-loop architecture</w:t>
      </w:r>
    </w:p>
    <w:p>
      <w:pPr>
        <w:pStyle w:val="FirstParagraph"/>
      </w:pPr>
      <w:r>
        <w:t xml:space="preserve">FORKED Range can be implemented on commodity and rugged hardware without requiring one proprietary platform. The public reference architecture separates:</w:t>
      </w:r>
    </w:p>
    <w:p>
      <w:pPr>
        <w:pStyle w:val="SourceCode"/>
      </w:pPr>
      <w:r>
        <w:rPr>
          <w:rStyle w:val="VerbatimChar"/>
        </w:rPr>
        <w:t xml:space="preserve">AUTHORITY NODE</w:t>
      </w:r>
      <w:r>
        <w:br/>
      </w:r>
      <w:r>
        <w:rPr>
          <w:rStyle w:val="VerbatimChar"/>
        </w:rPr>
        <w:t xml:space="preserve">  deterministic transition gate</w:t>
      </w:r>
      <w:r>
        <w:br/>
      </w:r>
      <w:r>
        <w:rPr>
          <w:rStyle w:val="VerbatimChar"/>
        </w:rPr>
        <w:t xml:space="preserve">  key and policy store</w:t>
      </w:r>
      <w:r>
        <w:br/>
      </w:r>
      <w:r>
        <w:rPr>
          <w:rStyle w:val="VerbatimChar"/>
        </w:rPr>
        <w:t xml:space="preserve">  secure/measured boot where available</w:t>
      </w:r>
      <w:r>
        <w:br/>
      </w:r>
      <w:r>
        <w:rPr>
          <w:rStyle w:val="VerbatimChar"/>
        </w:rPr>
        <w:t xml:space="preserve">  protected receipt ledger</w:t>
      </w:r>
      <w:r>
        <w:br/>
      </w:r>
      <w:r>
        <w:rPr>
          <w:rStyle w:val="VerbatimChar"/>
        </w:rPr>
        <w:t xml:space="preserve">  trusted time input and uncertainty</w:t>
      </w:r>
      <w:r>
        <w:br/>
      </w:r>
      <w:r>
        <w:rPr>
          <w:rStyle w:val="VerbatimChar"/>
        </w:rPr>
        <w:t xml:space="preserve">  network and I/O admission</w:t>
      </w:r>
      <w:r>
        <w:br/>
      </w:r>
      <w:r>
        <w:br/>
      </w:r>
      <w:r>
        <w:rPr>
          <w:rStyle w:val="VerbatimChar"/>
        </w:rPr>
        <w:t xml:space="preserve">AI / SIMULATION NODE</w:t>
      </w:r>
      <w:r>
        <w:br/>
      </w:r>
      <w:r>
        <w:rPr>
          <w:rStyle w:val="VerbatimChar"/>
        </w:rPr>
        <w:t xml:space="preserve">  model inference</w:t>
      </w:r>
      <w:r>
        <w:br/>
      </w:r>
      <w:r>
        <w:rPr>
          <w:rStyle w:val="VerbatimChar"/>
        </w:rPr>
        <w:t xml:space="preserve">  sensor fusion</w:t>
      </w:r>
      <w:r>
        <w:br/>
      </w:r>
      <w:r>
        <w:rPr>
          <w:rStyle w:val="VerbatimChar"/>
        </w:rPr>
        <w:t xml:space="preserve">  branch generation</w:t>
      </w:r>
      <w:r>
        <w:br/>
      </w:r>
      <w:r>
        <w:rPr>
          <w:rStyle w:val="VerbatimChar"/>
        </w:rPr>
        <w:t xml:space="preserve">  simulation and digital twin</w:t>
      </w:r>
      <w:r>
        <w:br/>
      </w:r>
      <w:r>
        <w:rPr>
          <w:rStyle w:val="VerbatimChar"/>
        </w:rPr>
        <w:t xml:space="preserve">  fable and terrain retrieval</w:t>
      </w:r>
      <w:r>
        <w:br/>
      </w:r>
      <w:r>
        <w:rPr>
          <w:rStyle w:val="VerbatimChar"/>
        </w:rPr>
        <w:t xml:space="preserve">  observer-state estimation</w:t>
      </w:r>
      <w:r>
        <w:br/>
      </w:r>
      <w:r>
        <w:br/>
      </w:r>
      <w:r>
        <w:rPr>
          <w:rStyle w:val="VerbatimChar"/>
        </w:rPr>
        <w:t xml:space="preserve">SENSOR / INTERFACE NODE</w:t>
      </w:r>
      <w:r>
        <w:br/>
      </w:r>
      <w:r>
        <w:rPr>
          <w:rStyle w:val="VerbatimChar"/>
        </w:rPr>
        <w:t xml:space="preserve">  multimodal capture</w:t>
      </w:r>
      <w:r>
        <w:br/>
      </w:r>
      <w:r>
        <w:rPr>
          <w:rStyle w:val="VerbatimChar"/>
        </w:rPr>
        <w:t xml:space="preserve">  source timestamps</w:t>
      </w:r>
      <w:r>
        <w:br/>
      </w:r>
      <w:r>
        <w:rPr>
          <w:rStyle w:val="VerbatimChar"/>
        </w:rPr>
        <w:t xml:space="preserve">  operator display</w:t>
      </w:r>
      <w:r>
        <w:br/>
      </w:r>
      <w:r>
        <w:rPr>
          <w:rStyle w:val="VerbatimChar"/>
        </w:rPr>
        <w:t xml:space="preserve">  eye/gaze or interaction logging where lawful</w:t>
      </w:r>
      <w:r>
        <w:br/>
      </w:r>
      <w:r>
        <w:rPr>
          <w:rStyle w:val="VerbatimChar"/>
        </w:rPr>
        <w:t xml:space="preserve">  latency and render receipts</w:t>
      </w:r>
      <w:r>
        <w:br/>
      </w:r>
      <w:r>
        <w:br/>
      </w:r>
      <w:r>
        <w:rPr>
          <w:rStyle w:val="VerbatimChar"/>
        </w:rPr>
        <w:t xml:space="preserve">RANGE ORCHESTRATOR</w:t>
      </w:r>
      <w:r>
        <w:br/>
      </w:r>
      <w:r>
        <w:rPr>
          <w:rStyle w:val="VerbatimChar"/>
        </w:rPr>
        <w:t xml:space="preserve">  scenario generator</w:t>
      </w:r>
      <w:r>
        <w:br/>
      </w:r>
      <w:r>
        <w:rPr>
          <w:rStyle w:val="VerbatimChar"/>
        </w:rPr>
        <w:t xml:space="preserve">  fault injection</w:t>
      </w:r>
      <w:r>
        <w:br/>
      </w:r>
      <w:r>
        <w:rPr>
          <w:rStyle w:val="VerbatimChar"/>
        </w:rPr>
        <w:t xml:space="preserve">  workload and attention control</w:t>
      </w:r>
      <w:r>
        <w:br/>
      </w:r>
      <w:r>
        <w:rPr>
          <w:rStyle w:val="VerbatimChar"/>
        </w:rPr>
        <w:t xml:space="preserve">  experiment randomization</w:t>
      </w:r>
      <w:r>
        <w:br/>
      </w:r>
      <w:r>
        <w:rPr>
          <w:rStyle w:val="VerbatimChar"/>
        </w:rPr>
        <w:t xml:space="preserve">  correction and replay</w:t>
      </w:r>
      <w:r>
        <w:br/>
      </w:r>
      <w:r>
        <w:rPr>
          <w:rStyle w:val="VerbatimChar"/>
        </w:rPr>
        <w:t xml:space="preserve">  data export and provenance</w:t>
      </w:r>
    </w:p>
    <w:p>
      <w:pPr>
        <w:pStyle w:val="FirstParagraph"/>
      </w:pPr>
      <w:r>
        <w:t xml:space="preserve">The architecture is compatible with modular open-system insertion because its interfaces are typed around receipts, time, state, authority, and correction rather than one vendor’s model. CMOSS Mounted Form Factor and related modular open-system programs illustrate the acquisition demand for reusable hardware and software building blocks.</w:t>
      </w:r>
      <w:r>
        <w:t xml:space="preserve"> </w:t>
      </w:r>
      <w:hyperlink w:anchor="ref-ArmyCMFF2025">
        <w:r>
          <w:rPr>
            <w:rStyle w:val="Hyperlink"/>
          </w:rPr>
          <w:t xml:space="preserve">[56]</w:t>
        </w:r>
      </w:hyperlink>
    </w:p>
    <w:p>
      <w:pPr>
        <w:pStyle w:val="BodyText"/>
      </w:pPr>
      <w:r>
        <w:t xml:space="preserve">Public hardware work should prioritize assurance: independent time, readback, signed configuration, modality capture, deterministic gating, power and thermal telemetry, and reproducible replay. Platform-specific exploitation and operational signature design remain outside the release.</w:t>
      </w:r>
    </w:p>
    <w:bookmarkEnd w:id="190"/>
    <w:bookmarkStart w:id="197" w:name="deployment-profiles"/>
    <w:p>
      <w:pPr>
        <w:pStyle w:val="Heading2"/>
      </w:pPr>
      <w:r>
        <w:t xml:space="preserve">65. Deployment profiles</w:t>
      </w:r>
    </w:p>
    <w:bookmarkStart w:id="191" w:name="software-assurance-profile"/>
    <w:p>
      <w:pPr>
        <w:pStyle w:val="Heading3"/>
      </w:pPr>
      <w:r>
        <w:t xml:space="preserve">65.1 Software assurance profile</w:t>
      </w:r>
    </w:p>
    <w:p>
      <w:pPr>
        <w:pStyle w:val="FirstParagraph"/>
      </w:pPr>
      <w:r>
        <w:t xml:space="preserve">Inputs are repositories, build artifacts, tests, policies, agent traces, and release manifests. Target states are</w:t>
      </w:r>
      <w:r>
        <w:t xml:space="preserve"> </w:t>
      </w:r>
      <w:r>
        <w:rPr>
          <w:rStyle w:val="VerbatimChar"/>
        </w:rPr>
        <w:t xml:space="preserve">proposed</w:t>
      </w:r>
      <w:r>
        <w:t xml:space="preserve">,</w:t>
      </w:r>
      <w:r>
        <w:t xml:space="preserve"> </w:t>
      </w:r>
      <w:r>
        <w:rPr>
          <w:rStyle w:val="VerbatimChar"/>
        </w:rPr>
        <w:t xml:space="preserve">built</w:t>
      </w:r>
      <w:r>
        <w:t xml:space="preserve">,</w:t>
      </w:r>
      <w:r>
        <w:t xml:space="preserve"> </w:t>
      </w:r>
      <w:r>
        <w:rPr>
          <w:rStyle w:val="VerbatimChar"/>
        </w:rPr>
        <w:t xml:space="preserve">tested</w:t>
      </w:r>
      <w:r>
        <w:t xml:space="preserve">,</w:t>
      </w:r>
      <w:r>
        <w:t xml:space="preserve"> </w:t>
      </w:r>
      <w:r>
        <w:rPr>
          <w:rStyle w:val="VerbatimChar"/>
        </w:rPr>
        <w:t xml:space="preserve">approved</w:t>
      </w:r>
      <w:r>
        <w:t xml:space="preserve">,</w:t>
      </w:r>
      <w:r>
        <w:t xml:space="preserve"> </w:t>
      </w:r>
      <w:r>
        <w:rPr>
          <w:rStyle w:val="VerbatimChar"/>
        </w:rPr>
        <w:t xml:space="preserve">deployed</w:t>
      </w:r>
      <w:r>
        <w:t xml:space="preserve">,</w:t>
      </w:r>
      <w:r>
        <w:t xml:space="preserve"> </w:t>
      </w:r>
      <w:r>
        <w:rPr>
          <w:rStyle w:val="VerbatimChar"/>
        </w:rPr>
        <w:t xml:space="preserve">rolled back</w:t>
      </w:r>
      <w:r>
        <w:t xml:space="preserve">, and</w:t>
      </w:r>
      <w:r>
        <w:t xml:space="preserve"> </w:t>
      </w:r>
      <w:r>
        <w:rPr>
          <w:rStyle w:val="VerbatimChar"/>
        </w:rPr>
        <w:t xml:space="preserve">corrected</w:t>
      </w:r>
      <w:r>
        <w:t xml:space="preserve">. Hidden dependencies include undocumented service consumers and human procedures.</w:t>
      </w:r>
    </w:p>
    <w:bookmarkEnd w:id="191"/>
    <w:bookmarkStart w:id="192" w:name="industrial-profile"/>
    <w:p>
      <w:pPr>
        <w:pStyle w:val="Heading3"/>
      </w:pPr>
      <w:r>
        <w:t xml:space="preserve">65.2 Industrial profile</w:t>
      </w:r>
    </w:p>
    <w:p>
      <w:pPr>
        <w:pStyle w:val="FirstParagraph"/>
      </w:pPr>
      <w:r>
        <w:t xml:space="preserve">Inputs are sensors, maintenance records, digital twins, operator actions, and safety policies. The architecture separates physical health, functional capacity, production availability, and declared maintenance state.</w:t>
      </w:r>
    </w:p>
    <w:bookmarkEnd w:id="192"/>
    <w:bookmarkStart w:id="193" w:name="critical-infrastructure-profile"/>
    <w:p>
      <w:pPr>
        <w:pStyle w:val="Heading3"/>
      </w:pPr>
      <w:r>
        <w:t xml:space="preserve">65.3 Critical-infrastructure profile</w:t>
      </w:r>
    </w:p>
    <w:p>
      <w:pPr>
        <w:pStyle w:val="FirstParagraph"/>
      </w:pPr>
      <w:r>
        <w:t xml:space="preserve">The profile emphasizes source-time, cross-domain dependencies, fail-operational behavior, protected control-state writes, and correction propagation across operators and regulators.</w:t>
      </w:r>
    </w:p>
    <w:bookmarkEnd w:id="193"/>
    <w:bookmarkStart w:id="194" w:name="human-ai-decision-profile"/>
    <w:p>
      <w:pPr>
        <w:pStyle w:val="Heading3"/>
      </w:pPr>
      <w:r>
        <w:t xml:space="preserve">65.4 Human-AI decision profile</w:t>
      </w:r>
    </w:p>
    <w:p>
      <w:pPr>
        <w:pStyle w:val="FirstParagraph"/>
      </w:pPr>
      <w:r>
        <w:t xml:space="preserve">The profile instruments source inspection, advice timing, confidence before and after advice, alternatives, challenge, reversal, and liability understanding.</w:t>
      </w:r>
    </w:p>
    <w:bookmarkEnd w:id="194"/>
    <w:bookmarkStart w:id="195" w:name="mission-assurance-profile"/>
    <w:p>
      <w:pPr>
        <w:pStyle w:val="Heading3"/>
      </w:pPr>
      <w:r>
        <w:t xml:space="preserve">65.5 Mission assurance profile</w:t>
      </w:r>
    </w:p>
    <w:p>
      <w:pPr>
        <w:pStyle w:val="FirstParagraph"/>
      </w:pPr>
      <w:r>
        <w:t xml:space="preserve">The profile separates physical, functional, mission, and higher-horizon state. It measures verification debt, local-green/global-red conditions, human agency, timing, and correction survival. Operational targeting remains outside the public profile.</w:t>
      </w:r>
    </w:p>
    <w:bookmarkEnd w:id="195"/>
    <w:bookmarkStart w:id="196" w:name="institutional-memory-profile"/>
    <w:p>
      <w:pPr>
        <w:pStyle w:val="Heading3"/>
      </w:pPr>
      <w:r>
        <w:t xml:space="preserve">65.6 Institutional-memory profile</w:t>
      </w:r>
    </w:p>
    <w:p>
      <w:pPr>
        <w:pStyle w:val="FirstParagraph"/>
      </w:pPr>
      <w:r>
        <w:t xml:space="preserve">The profile governs reports, summaries, policy, caches, and generated context. It tracks how claims enter memory and whether later corrections reach all dependents.</w:t>
      </w:r>
    </w:p>
    <w:bookmarkEnd w:id="196"/>
    <w:bookmarkEnd w:id="197"/>
    <w:bookmarkStart w:id="198" w:name="assurance-cases-and-certification"/>
    <w:p>
      <w:pPr>
        <w:pStyle w:val="Heading2"/>
      </w:pPr>
      <w:r>
        <w:t xml:space="preserve">66. Assurance cases and certification</w:t>
      </w:r>
    </w:p>
    <w:p>
      <w:pPr>
        <w:pStyle w:val="FirstParagraph"/>
      </w:pPr>
      <w:r>
        <w:t xml:space="preserve">The durable product is not one sensor or model. It is the recurring assurance case that must be rebuilt whenever a model, sensor, interface, firmware image, policy, environment, authority grant, or dependency changes.</w:t>
      </w:r>
    </w:p>
    <w:p>
      <w:pPr>
        <w:pStyle w:val="BodyText"/>
      </w:pPr>
      <w:r>
        <w:t xml:space="preserve">A FORKED assurance case includes:</w:t>
      </w:r>
    </w:p>
    <w:p>
      <w:pPr>
        <w:pStyle w:val="SourceCode"/>
      </w:pPr>
      <w:r>
        <w:rPr>
          <w:rStyle w:val="VerbatimChar"/>
        </w:rPr>
        <w:t xml:space="preserve">scope and mission horizon</w:t>
      </w:r>
      <w:r>
        <w:br/>
      </w:r>
      <w:r>
        <w:rPr>
          <w:rStyle w:val="VerbatimChar"/>
        </w:rPr>
        <w:t xml:space="preserve">system and observer census</w:t>
      </w:r>
      <w:r>
        <w:br/>
      </w:r>
      <w:r>
        <w:rPr>
          <w:rStyle w:val="VerbatimChar"/>
        </w:rPr>
        <w:t xml:space="preserve">source and runtime identities</w:t>
      </w:r>
      <w:r>
        <w:br/>
      </w:r>
      <w:r>
        <w:rPr>
          <w:rStyle w:val="VerbatimChar"/>
        </w:rPr>
        <w:t xml:space="preserve">splat and exclusion register</w:t>
      </w:r>
      <w:r>
        <w:br/>
      </w:r>
      <w:r>
        <w:rPr>
          <w:rStyle w:val="VerbatimChar"/>
        </w:rPr>
        <w:t xml:space="preserve">authority and agency map</w:t>
      </w:r>
      <w:r>
        <w:br/>
      </w:r>
      <w:r>
        <w:rPr>
          <w:rStyle w:val="VerbatimChar"/>
        </w:rPr>
        <w:t xml:space="preserve">dependency and correction graph</w:t>
      </w:r>
      <w:r>
        <w:br/>
      </w:r>
      <w:r>
        <w:rPr>
          <w:rStyle w:val="VerbatimChar"/>
        </w:rPr>
        <w:t xml:space="preserve">physical and temporal conformation</w:t>
      </w:r>
      <w:r>
        <w:br/>
      </w:r>
      <w:r>
        <w:rPr>
          <w:rStyle w:val="VerbatimChar"/>
        </w:rPr>
        <w:t xml:space="preserve">failure and adverse-lane results</w:t>
      </w:r>
      <w:r>
        <w:br/>
      </w:r>
      <w:r>
        <w:rPr>
          <w:rStyle w:val="VerbatimChar"/>
        </w:rPr>
        <w:t xml:space="preserve">points of no return</w:t>
      </w:r>
      <w:r>
        <w:br/>
      </w:r>
      <w:r>
        <w:rPr>
          <w:rStyle w:val="VerbatimChar"/>
        </w:rPr>
        <w:t xml:space="preserve">residual uncertainty</w:t>
      </w:r>
      <w:r>
        <w:br/>
      </w:r>
      <w:r>
        <w:rPr>
          <w:rStyle w:val="VerbatimChar"/>
        </w:rPr>
        <w:t xml:space="preserve">release and rollback conditions</w:t>
      </w:r>
      <w:r>
        <w:br/>
      </w:r>
      <w:r>
        <w:rPr>
          <w:rStyle w:val="VerbatimChar"/>
        </w:rPr>
        <w:t xml:space="preserve">configuration digest</w:t>
      </w:r>
      <w:r>
        <w:br/>
      </w:r>
      <w:r>
        <w:rPr>
          <w:rStyle w:val="VerbatimChar"/>
        </w:rPr>
        <w:t xml:space="preserve">validity and expiry window</w:t>
      </w:r>
    </w:p>
    <w:p>
      <w:pPr>
        <w:pStyle w:val="FirstParagraph"/>
      </w:pPr>
      <w:r>
        <w:t xml:space="preserve">Requalification is configuration-aware. Evidence may be reused only when the changed configuration does not invalidate its dependency surface. The first synthetic economics study found that graph-aware reuse reduced encoded approval time and test cost while slightly increasing escaped defects under incomplete graphs.</w:t>
      </w:r>
      <w:r>
        <w:t xml:space="preserve"> </w:t>
      </w:r>
      <w:hyperlink w:anchor="ref-ForkedExperiments2026">
        <w:r>
          <w:rPr>
            <w:rStyle w:val="Hyperlink"/>
          </w:rPr>
          <w:t xml:space="preserve">[10]</w:t>
        </w:r>
      </w:hyperlink>
      <w:r>
        <w:t xml:space="preserve"> </w:t>
      </w:r>
      <w:r>
        <w:t xml:space="preserve">The correct product is bounded evidence reuse with dependency completeness thresholds, not universal</w:t>
      </w:r>
      <w:r>
        <w:t xml:space="preserve"> </w:t>
      </w:r>
      <w:r>
        <w:t xml:space="preserve">“</w:t>
      </w:r>
      <w:r>
        <w:t xml:space="preserve">test once, certify forever.</w:t>
      </w:r>
      <w:r>
        <w:t xml:space="preserve">”</w:t>
      </w:r>
    </w:p>
    <w:bookmarkEnd w:id="198"/>
    <w:bookmarkStart w:id="199" w:name="commercial-architecture"/>
    <w:p>
      <w:pPr>
        <w:pStyle w:val="Heading2"/>
      </w:pPr>
      <w:r>
        <w:t xml:space="preserve">67. Commercial architecture</w:t>
      </w:r>
    </w:p>
    <w:p>
      <w:pPr>
        <w:pStyle w:val="FirstParagraph"/>
      </w:pPr>
      <w:r>
        <w:t xml:space="preserve">FORKED can be productized in several recurring lanes:</w:t>
      </w:r>
    </w:p>
    <w:p>
      <w:pPr>
        <w:pStyle w:val="Compact"/>
        <w:numPr>
          <w:ilvl w:val="0"/>
          <w:numId w:val="1015"/>
        </w:numPr>
      </w:pPr>
      <w:r>
        <w:rPr>
          <w:b/>
          <w:bCs/>
        </w:rPr>
        <w:t xml:space="preserve">FORKED Range:</w:t>
      </w:r>
      <w:r>
        <w:t xml:space="preserve"> </w:t>
      </w:r>
      <w:r>
        <w:t xml:space="preserve">synthetic, human-in-the-loop, and hardware-in-the-loop proving environments;</w:t>
      </w:r>
    </w:p>
    <w:p>
      <w:pPr>
        <w:pStyle w:val="Compact"/>
        <w:numPr>
          <w:ilvl w:val="0"/>
          <w:numId w:val="1015"/>
        </w:numPr>
      </w:pPr>
      <w:r>
        <w:rPr>
          <w:b/>
          <w:bCs/>
        </w:rPr>
        <w:t xml:space="preserve">FORKED Ledger:</w:t>
      </w:r>
      <w:r>
        <w:t xml:space="preserve"> </w:t>
      </w:r>
      <w:r>
        <w:t xml:space="preserve">observer-indexed state and correction provenance;</w:t>
      </w:r>
    </w:p>
    <w:p>
      <w:pPr>
        <w:pStyle w:val="Compact"/>
        <w:numPr>
          <w:ilvl w:val="0"/>
          <w:numId w:val="1015"/>
        </w:numPr>
      </w:pPr>
      <w:r>
        <w:rPr>
          <w:b/>
          <w:bCs/>
        </w:rPr>
        <w:t xml:space="preserve">FORKED Witness:</w:t>
      </w:r>
      <w:r>
        <w:t xml:space="preserve"> </w:t>
      </w:r>
      <w:r>
        <w:t xml:space="preserve">source-time, SightState, and evidence capture;</w:t>
      </w:r>
    </w:p>
    <w:p>
      <w:pPr>
        <w:pStyle w:val="Compact"/>
        <w:numPr>
          <w:ilvl w:val="0"/>
          <w:numId w:val="1015"/>
        </w:numPr>
      </w:pPr>
      <w:r>
        <w:rPr>
          <w:b/>
          <w:bCs/>
        </w:rPr>
        <w:t xml:space="preserve">FORKED Gate:</w:t>
      </w:r>
      <w:r>
        <w:t xml:space="preserve"> </w:t>
      </w:r>
      <w:r>
        <w:t xml:space="preserve">deterministic transition and authority admission;</w:t>
      </w:r>
    </w:p>
    <w:p>
      <w:pPr>
        <w:pStyle w:val="Compact"/>
        <w:numPr>
          <w:ilvl w:val="0"/>
          <w:numId w:val="1015"/>
        </w:numPr>
      </w:pPr>
      <w:r>
        <w:rPr>
          <w:b/>
          <w:bCs/>
        </w:rPr>
        <w:t xml:space="preserve">FORKED Assurance:</w:t>
      </w:r>
      <w:r>
        <w:t xml:space="preserve"> </w:t>
      </w:r>
      <w:r>
        <w:t xml:space="preserve">release, configuration, and lifecycle certification;</w:t>
      </w:r>
    </w:p>
    <w:p>
      <w:pPr>
        <w:pStyle w:val="Compact"/>
        <w:numPr>
          <w:ilvl w:val="0"/>
          <w:numId w:val="1015"/>
        </w:numPr>
      </w:pPr>
      <w:r>
        <w:rPr>
          <w:b/>
          <w:bCs/>
        </w:rPr>
        <w:t xml:space="preserve">FORKED Terrain:</w:t>
      </w:r>
      <w:r>
        <w:t xml:space="preserve"> </w:t>
      </w:r>
      <w:r>
        <w:t xml:space="preserve">shape-first memory, fable pressure, and longitudinal precedent;</w:t>
      </w:r>
    </w:p>
    <w:p>
      <w:pPr>
        <w:pStyle w:val="Compact"/>
        <w:numPr>
          <w:ilvl w:val="0"/>
          <w:numId w:val="1015"/>
        </w:numPr>
      </w:pPr>
      <w:r>
        <w:rPr>
          <w:b/>
          <w:bCs/>
        </w:rPr>
        <w:t xml:space="preserve">FORKED Halo:</w:t>
      </w:r>
      <w:r>
        <w:t xml:space="preserve"> </w:t>
      </w:r>
      <w:r>
        <w:t xml:space="preserve">operator interface and meaningful-agency instrumentation;</w:t>
      </w:r>
    </w:p>
    <w:p>
      <w:pPr>
        <w:pStyle w:val="Compact"/>
        <w:numPr>
          <w:ilvl w:val="0"/>
          <w:numId w:val="1015"/>
        </w:numPr>
      </w:pPr>
      <w:r>
        <w:rPr>
          <w:b/>
          <w:bCs/>
        </w:rPr>
        <w:t xml:space="preserve">FORKED Biome:</w:t>
      </w:r>
      <w:r>
        <w:t xml:space="preserve"> </w:t>
      </w:r>
      <w:r>
        <w:t xml:space="preserve">constitutional simulation and institutional learning environments;</w:t>
      </w:r>
    </w:p>
    <w:p>
      <w:pPr>
        <w:pStyle w:val="Compact"/>
        <w:numPr>
          <w:ilvl w:val="0"/>
          <w:numId w:val="1015"/>
        </w:numPr>
      </w:pPr>
      <w:r>
        <w:rPr>
          <w:b/>
          <w:bCs/>
        </w:rPr>
        <w:t xml:space="preserve">FORKED Economy:</w:t>
      </w:r>
      <w:r>
        <w:t xml:space="preserve"> </w:t>
      </w:r>
      <w:r>
        <w:t xml:space="preserve">held-anchor, shadow, and outcome-backed governance testing.</w:t>
      </w:r>
    </w:p>
    <w:p>
      <w:pPr>
        <w:pStyle w:val="FirstParagraph"/>
      </w:pPr>
      <w:r>
        <w:t xml:space="preserve">The recurring revenue surface is change. Every model update, sensor swap, interface redesign, policy revision, provider change, environment shift, or authority restructuring can invalidate part of the assurance case. FORKED records exactly which evidence remains reusable and which lanes must be re-run.</w:t>
      </w:r>
    </w:p>
    <w:p>
      <w:pPr>
        <w:pStyle w:val="BodyText"/>
      </w:pPr>
      <w:r>
        <w:t xml:space="preserve">The moat is not merely a benchmark library. It is the integration of ontology, simulation, provenance, human factors, authority, time, correction, and productized evidence under one parent contract.</w:t>
      </w:r>
      <w:r>
        <w:t xml:space="preserve"> </w:t>
      </w:r>
      <w:r>
        <w:t xml:space="preserve"># Part VII - Research program, governance, and conclusion</w:t>
      </w:r>
    </w:p>
    <w:bookmarkEnd w:id="199"/>
    <w:bookmarkStart w:id="210" w:name="X7030e5cd695853f9a28e620f8b1ea020fbb69cb"/>
    <w:p>
      <w:pPr>
        <w:pStyle w:val="Heading2"/>
      </w:pPr>
      <w:r>
        <w:t xml:space="preserve">68. Research architecture: one estate, multiple falsifiable papers</w:t>
      </w:r>
    </w:p>
    <w:p>
      <w:pPr>
        <w:pStyle w:val="FirstParagraph"/>
      </w:pPr>
      <w:r>
        <w:t xml:space="preserve">FORKED is too broad to validate as one universal claim. Its research program decomposes the estate into independently falsifiable lanes while preserving the parent relationships among them.</w:t>
      </w:r>
    </w:p>
    <w:bookmarkStart w:id="200" w:name="splat-bound-natural-language-projection"/>
    <w:p>
      <w:pPr>
        <w:pStyle w:val="Heading3"/>
      </w:pPr>
      <w:r>
        <w:t xml:space="preserve">68.1 Splat-bound natural-language projection</w:t>
      </w:r>
    </w:p>
    <w:p>
      <w:pPr>
        <w:pStyle w:val="FirstParagraph"/>
      </w:pPr>
      <w:r>
        <w:rPr>
          <w:b/>
          <w:bCs/>
        </w:rPr>
        <w:t xml:space="preserve">Question:</w:t>
      </w:r>
      <w:r>
        <w:t xml:space="preserve"> </w:t>
      </w:r>
      <w:r>
        <w:t xml:space="preserve">Does a lattice-linked rendering preserve source-tense, exclusions, branch state, authority, and correction triggers better than ordinary summaries?</w:t>
      </w:r>
    </w:p>
    <w:p>
      <w:pPr>
        <w:pStyle w:val="BodyText"/>
      </w:pPr>
      <w:r>
        <w:rPr>
          <w:b/>
          <w:bCs/>
        </w:rPr>
        <w:t xml:space="preserve">Design:</w:t>
      </w:r>
      <w:r>
        <w:t xml:space="preserve"> </w:t>
      </w:r>
      <w:r>
        <w:t xml:space="preserve">Compare standard summaries, chain-of-thought-style explanations, structured evidence tables, and splat-bound projections across context transport and correction tasks.</w:t>
      </w:r>
    </w:p>
    <w:p>
      <w:pPr>
        <w:pStyle w:val="BodyText"/>
      </w:pPr>
      <w:r>
        <w:rPr>
          <w:b/>
          <w:bCs/>
        </w:rPr>
        <w:t xml:space="preserve">Primary outcomes:</w:t>
      </w:r>
      <w:r>
        <w:t xml:space="preserve"> </w:t>
      </w:r>
      <w:r>
        <w:t xml:space="preserve">structural fidelity, authority leakage, exclusion loss, correction accuracy, and time to inspect.</w:t>
      </w:r>
    </w:p>
    <w:p>
      <w:pPr>
        <w:pStyle w:val="BodyText"/>
      </w:pPr>
      <w:r>
        <w:rPr>
          <w:b/>
          <w:bCs/>
        </w:rPr>
        <w:t xml:space="preserve">Falsifier:</w:t>
      </w:r>
      <w:r>
        <w:t xml:space="preserve"> </w:t>
      </w:r>
      <w:r>
        <w:t xml:space="preserve">The lattice-linked form provides no fidelity gain at matched cognitive load, or creates new misinterpretation that dominates its benefits.</w:t>
      </w:r>
    </w:p>
    <w:bookmarkEnd w:id="200"/>
    <w:bookmarkStart w:id="201" w:name="shape-priority-longitudinal-memory"/>
    <w:p>
      <w:pPr>
        <w:pStyle w:val="Heading3"/>
      </w:pPr>
      <w:r>
        <w:t xml:space="preserve">68.2 Shape-priority longitudinal memory</w:t>
      </w:r>
    </w:p>
    <w:p>
      <w:pPr>
        <w:pStyle w:val="FirstParagraph"/>
      </w:pPr>
      <w:r>
        <w:rPr>
          <w:b/>
          <w:bCs/>
        </w:rPr>
        <w:t xml:space="preserve">Question:</w:t>
      </w:r>
      <w:r>
        <w:t xml:space="preserve"> </w:t>
      </w:r>
      <w:r>
        <w:t xml:space="preserve">When should terrain shape outrank recency, and when should currentness override structural recurrence?</w:t>
      </w:r>
    </w:p>
    <w:p>
      <w:pPr>
        <w:pStyle w:val="BodyText"/>
      </w:pPr>
      <w:r>
        <w:rPr>
          <w:b/>
          <w:bCs/>
        </w:rPr>
        <w:t xml:space="preserve">Design:</w:t>
      </w:r>
      <w:r>
        <w:t xml:space="preserve"> </w:t>
      </w:r>
      <w:r>
        <w:t xml:space="preserve">Construct task families with old shape-isomorphic precedents, recent shape-distant precedents, changed mechanisms, expired authorities, and altered physical conditions.</w:t>
      </w:r>
    </w:p>
    <w:p>
      <w:pPr>
        <w:pStyle w:val="BodyText"/>
      </w:pPr>
      <w:r>
        <w:rPr>
          <w:b/>
          <w:bCs/>
        </w:rPr>
        <w:t xml:space="preserve">Primary outcomes:</w:t>
      </w:r>
      <w:r>
        <w:t xml:space="preserve"> </w:t>
      </w:r>
      <w:r>
        <w:t xml:space="preserve">lawful precedent selection, false analogy, currentness error, and calibration.</w:t>
      </w:r>
    </w:p>
    <w:p>
      <w:pPr>
        <w:pStyle w:val="BodyText"/>
      </w:pPr>
      <w:r>
        <w:rPr>
          <w:b/>
          <w:bCs/>
        </w:rPr>
        <w:t xml:space="preserve">Falsifier:</w:t>
      </w:r>
      <w:r>
        <w:t xml:space="preserve"> </w:t>
      </w:r>
      <w:r>
        <w:t xml:space="preserve">A simpler recency-first or embedding-only baseline matches or exceeds performance across both recurrence and currentness-sensitive tasks.</w:t>
      </w:r>
    </w:p>
    <w:bookmarkEnd w:id="201"/>
    <w:bookmarkStart w:id="202" w:name="symmetric-closure-governance"/>
    <w:p>
      <w:pPr>
        <w:pStyle w:val="Heading3"/>
      </w:pPr>
      <w:r>
        <w:t xml:space="preserve">68.3 Symmetric closure governance</w:t>
      </w:r>
    </w:p>
    <w:p>
      <w:pPr>
        <w:pStyle w:val="FirstParagraph"/>
      </w:pPr>
      <w:r>
        <w:rPr>
          <w:b/>
          <w:bCs/>
        </w:rPr>
        <w:t xml:space="preserve">Question:</w:t>
      </w:r>
      <w:r>
        <w:t xml:space="preserve"> </w:t>
      </w:r>
      <w:r>
        <w:t xml:space="preserve">Can one interface reduce premature closure without inducing permanent or mission-destructive suspension?</w:t>
      </w:r>
    </w:p>
    <w:p>
      <w:pPr>
        <w:pStyle w:val="BodyText"/>
      </w:pPr>
      <w:r>
        <w:rPr>
          <w:b/>
          <w:bCs/>
        </w:rPr>
        <w:t xml:space="preserve">Design:</w:t>
      </w:r>
      <w:r>
        <w:t xml:space="preserve"> </w:t>
      </w:r>
      <w:r>
        <w:t xml:space="preserve">Vary responsibility, reversibility, time pressure, branch presentation, advice timing, and PONR distance.</w:t>
      </w:r>
    </w:p>
    <w:p>
      <w:pPr>
        <w:pStyle w:val="BodyText"/>
      </w:pPr>
      <w:r>
        <w:rPr>
          <w:b/>
          <w:bCs/>
        </w:rPr>
        <w:t xml:space="preserve">Primary outcomes:</w:t>
      </w:r>
      <w:r>
        <w:t xml:space="preserve"> </w:t>
      </w:r>
      <w:r>
        <w:t xml:space="preserve">premature declaration, missed warranted declaration, hold expiry, decision quality, workload, correction, and mission utility.</w:t>
      </w:r>
    </w:p>
    <w:p>
      <w:pPr>
        <w:pStyle w:val="BodyText"/>
      </w:pPr>
      <w:r>
        <w:rPr>
          <w:b/>
          <w:bCs/>
        </w:rPr>
        <w:t xml:space="preserve">Falsifier:</w:t>
      </w:r>
      <w:r>
        <w:t xml:space="preserve"> </w:t>
      </w:r>
      <w:r>
        <w:t xml:space="preserve">Fixed confidence displays or simpler interfaces dominate after time and workload are controlled.</w:t>
      </w:r>
    </w:p>
    <w:bookmarkEnd w:id="202"/>
    <w:bookmarkStart w:id="203" w:name="dag-of-dag-false-stability"/>
    <w:p>
      <w:pPr>
        <w:pStyle w:val="Heading3"/>
      </w:pPr>
      <w:r>
        <w:t xml:space="preserve">68.4 DAG-of-DAG false stability</w:t>
      </w:r>
    </w:p>
    <w:p>
      <w:pPr>
        <w:pStyle w:val="FirstParagraph"/>
      </w:pPr>
      <w:r>
        <w:rPr>
          <w:b/>
          <w:bCs/>
        </w:rPr>
        <w:t xml:space="preserve">Question:</w:t>
      </w:r>
      <w:r>
        <w:t xml:space="preserve"> </w:t>
      </w:r>
      <w:r>
        <w:t xml:space="preserve">How well can the architecture detect local-green/global-red systems, hidden joins, stale protected nodes, and human-memory residue?</w:t>
      </w:r>
    </w:p>
    <w:p>
      <w:pPr>
        <w:pStyle w:val="BodyText"/>
      </w:pPr>
      <w:r>
        <w:rPr>
          <w:b/>
          <w:bCs/>
        </w:rPr>
        <w:t xml:space="preserve">Design:</w:t>
      </w:r>
      <w:r>
        <w:t xml:space="preserve"> </w:t>
      </w:r>
      <w:r>
        <w:t xml:space="preserve">Generate and collect real dependency graphs with explicit, hidden, and probabilistic edges. Introduce corrections at multiple depths.</w:t>
      </w:r>
    </w:p>
    <w:p>
      <w:pPr>
        <w:pStyle w:val="BodyText"/>
      </w:pPr>
      <w:r>
        <w:rPr>
          <w:b/>
          <w:bCs/>
        </w:rPr>
        <w:t xml:space="preserve">Primary outcomes:</w:t>
      </w:r>
      <w:r>
        <w:t xml:space="preserve"> </w:t>
      </w:r>
      <w:r>
        <w:t xml:space="preserve">detection, correction completeness, residue, convergence time, overhead, and false-edge cost.</w:t>
      </w:r>
    </w:p>
    <w:p>
      <w:pPr>
        <w:pStyle w:val="BodyText"/>
      </w:pPr>
      <w:r>
        <w:rPr>
          <w:b/>
          <w:bCs/>
        </w:rPr>
        <w:t xml:space="preserve">Falsifier:</w:t>
      </w:r>
      <w:r>
        <w:t xml:space="preserve"> </w:t>
      </w:r>
      <w:r>
        <w:t xml:space="preserve">Simpler dependency tracing provides equal correction with lower overhead, or inferred hidden edges create more instability than they repair.</w:t>
      </w:r>
    </w:p>
    <w:bookmarkEnd w:id="203"/>
    <w:bookmarkStart w:id="204" w:name="fable-terrain-with-adverse-lanes"/>
    <w:p>
      <w:pPr>
        <w:pStyle w:val="Heading3"/>
      </w:pPr>
      <w:r>
        <w:t xml:space="preserve">68.5 Fable terrain with adverse lanes</w:t>
      </w:r>
    </w:p>
    <w:p>
      <w:pPr>
        <w:pStyle w:val="FirstParagraph"/>
      </w:pPr>
      <w:r>
        <w:rPr>
          <w:b/>
          <w:bCs/>
        </w:rPr>
        <w:t xml:space="preserve">Question:</w:t>
      </w:r>
      <w:r>
        <w:t xml:space="preserve"> </w:t>
      </w:r>
      <w:r>
        <w:t xml:space="preserve">Do shape-matched fables improve observer accounting, source inspection, or correction beyond matched non-narrative constraints?</w:t>
      </w:r>
    </w:p>
    <w:p>
      <w:pPr>
        <w:pStyle w:val="BodyText"/>
      </w:pPr>
      <w:r>
        <w:rPr>
          <w:b/>
          <w:bCs/>
        </w:rPr>
        <w:t xml:space="preserve">Design:</w:t>
      </w:r>
      <w:r>
        <w:t xml:space="preserve"> </w:t>
      </w:r>
      <w:r>
        <w:t xml:space="preserve">Cross fable familiarity, cultural background, pressure, topology match, misleading frame, wisdom/caution polarity, and PONR proximity.</w:t>
      </w:r>
    </w:p>
    <w:p>
      <w:pPr>
        <w:pStyle w:val="BodyText"/>
      </w:pPr>
      <w:r>
        <w:rPr>
          <w:b/>
          <w:bCs/>
        </w:rPr>
        <w:t xml:space="preserve">Primary outcomes:</w:t>
      </w:r>
      <w:r>
        <w:t xml:space="preserve"> </w:t>
      </w:r>
      <w:r>
        <w:t xml:space="preserve">insight, false pattern match, overcaution, source inspection, decision time, and correction.</w:t>
      </w:r>
    </w:p>
    <w:p>
      <w:pPr>
        <w:pStyle w:val="BodyText"/>
      </w:pPr>
      <w:r>
        <w:rPr>
          <w:b/>
          <w:bCs/>
        </w:rPr>
        <w:t xml:space="preserve">Falsifier:</w:t>
      </w:r>
      <w:r>
        <w:t xml:space="preserve"> </w:t>
      </w:r>
      <w:r>
        <w:t xml:space="preserve">Effects reduce to verbosity, familiarity, demand characteristics, or generic caution.</w:t>
      </w:r>
    </w:p>
    <w:bookmarkEnd w:id="204"/>
    <w:bookmarkStart w:id="205" w:name="Xa936d4e1d052c8b65e713a06c7d39f8fdb3170f"/>
    <w:p>
      <w:pPr>
        <w:pStyle w:val="Heading3"/>
      </w:pPr>
      <w:r>
        <w:t xml:space="preserve">68.6 Meaningful agency under machine-mediated terrain</w:t>
      </w:r>
    </w:p>
    <w:p>
      <w:pPr>
        <w:pStyle w:val="FirstParagraph"/>
      </w:pPr>
      <w:r>
        <w:rPr>
          <w:b/>
          <w:bCs/>
        </w:rPr>
        <w:t xml:space="preserve">Question:</w:t>
      </w:r>
      <w:r>
        <w:t xml:space="preserve"> </w:t>
      </w:r>
      <w:r>
        <w:t xml:space="preserve">Which interface and institutional conditions produce genuine control rather than nominal approval?</w:t>
      </w:r>
    </w:p>
    <w:p>
      <w:pPr>
        <w:pStyle w:val="BodyText"/>
      </w:pPr>
      <w:r>
        <w:rPr>
          <w:b/>
          <w:bCs/>
        </w:rPr>
        <w:t xml:space="preserve">Design:</w:t>
      </w:r>
      <w:r>
        <w:t xml:space="preserve"> </w:t>
      </w:r>
      <w:r>
        <w:t xml:space="preserve">Manipulate source access, independent estimate timing, alternatives, challenge, delay, reversal, defaults, and liability disclosure.</w:t>
      </w:r>
    </w:p>
    <w:p>
      <w:pPr>
        <w:pStyle w:val="BodyText"/>
      </w:pPr>
      <w:r>
        <w:rPr>
          <w:b/>
          <w:bCs/>
        </w:rPr>
        <w:t xml:space="preserve">Primary outcomes:</w:t>
      </w:r>
      <w:r>
        <w:t xml:space="preserve"> </w:t>
      </w:r>
      <w:r>
        <w:t xml:space="preserve">reason-responsive decision change, appropriate reliance, challenge quality, correction, and perceived versus actual control.</w:t>
      </w:r>
    </w:p>
    <w:p>
      <w:pPr>
        <w:pStyle w:val="BodyText"/>
      </w:pPr>
      <w:r>
        <w:rPr>
          <w:b/>
          <w:bCs/>
        </w:rPr>
        <w:t xml:space="preserve">Falsifier:</w:t>
      </w:r>
      <w:r>
        <w:t xml:space="preserve"> </w:t>
      </w:r>
      <w:r>
        <w:t xml:space="preserve">The proposed agency dimensions do not predict behavior or responsibility-relevant outcomes.</w:t>
      </w:r>
    </w:p>
    <w:bookmarkEnd w:id="205"/>
    <w:bookmarkStart w:id="206" w:name="mission-lane-noncollapse"/>
    <w:p>
      <w:pPr>
        <w:pStyle w:val="Heading3"/>
      </w:pPr>
      <w:r>
        <w:t xml:space="preserve">68.7 Mission-lane noncollapse</w:t>
      </w:r>
    </w:p>
    <w:p>
      <w:pPr>
        <w:pStyle w:val="FirstParagraph"/>
      </w:pPr>
      <w:r>
        <w:rPr>
          <w:b/>
          <w:bCs/>
        </w:rPr>
        <w:t xml:space="preserve">Question:</w:t>
      </w:r>
      <w:r>
        <w:t xml:space="preserve"> </w:t>
      </w:r>
      <w:r>
        <w:t xml:space="preserve">Can systems preserve task, mission, battle, campaign, war, and institutional distinctions under time pressure and restatement?</w:t>
      </w:r>
    </w:p>
    <w:p>
      <w:pPr>
        <w:pStyle w:val="BodyText"/>
      </w:pPr>
      <w:r>
        <w:rPr>
          <w:b/>
          <w:bCs/>
        </w:rPr>
        <w:t xml:space="preserve">Design:</w:t>
      </w:r>
      <w:r>
        <w:t xml:space="preserve"> </w:t>
      </w:r>
      <w:r>
        <w:t xml:space="preserve">Present the same local result under different horizon briefs and authority assignments. Test whether systems launder local evidence upward.</w:t>
      </w:r>
    </w:p>
    <w:p>
      <w:pPr>
        <w:pStyle w:val="BodyText"/>
      </w:pPr>
      <w:r>
        <w:rPr>
          <w:b/>
          <w:bCs/>
        </w:rPr>
        <w:t xml:space="preserve">Primary outcomes:</w:t>
      </w:r>
      <w:r>
        <w:t xml:space="preserve"> </w:t>
      </w:r>
      <w:r>
        <w:t xml:space="preserve">horizon leakage, authority violation, externality recognition, mission viability, and decision time.</w:t>
      </w:r>
    </w:p>
    <w:p>
      <w:pPr>
        <w:pStyle w:val="BodyText"/>
      </w:pPr>
      <w:r>
        <w:rPr>
          <w:b/>
          <w:bCs/>
        </w:rPr>
        <w:t xml:space="preserve">Falsifier:</w:t>
      </w:r>
      <w:r>
        <w:t xml:space="preserve"> </w:t>
      </w:r>
      <w:r>
        <w:t xml:space="preserve">The lane separation creates complexity without reducing strategic error.</w:t>
      </w:r>
    </w:p>
    <w:bookmarkEnd w:id="206"/>
    <w:bookmarkStart w:id="207" w:name="constitutional-biome-physics"/>
    <w:p>
      <w:pPr>
        <w:pStyle w:val="Heading3"/>
      </w:pPr>
      <w:r>
        <w:t xml:space="preserve">68.8 Constitutional biome physics</w:t>
      </w:r>
    </w:p>
    <w:p>
      <w:pPr>
        <w:pStyle w:val="FirstParagraph"/>
      </w:pPr>
      <w:r>
        <w:rPr>
          <w:b/>
          <w:bCs/>
        </w:rPr>
        <w:t xml:space="preserve">Question:</w:t>
      </w:r>
      <w:r>
        <w:t xml:space="preserve"> </w:t>
      </w:r>
      <w:r>
        <w:t xml:space="preserve">Do resource, diversity, pruning, mutualism, and dispersal mechanics produce interpretable learning without directive instruction?</w:t>
      </w:r>
    </w:p>
    <w:p>
      <w:pPr>
        <w:pStyle w:val="BodyText"/>
      </w:pPr>
      <w:r>
        <w:rPr>
          <w:b/>
          <w:bCs/>
        </w:rPr>
        <w:t xml:space="preserve">Design:</w:t>
      </w:r>
      <w:r>
        <w:t xml:space="preserve"> </w:t>
      </w:r>
      <w:r>
        <w:t xml:space="preserve">Run calibrated human or multi-agent cohorts with preregistered physics, controls, and transfer tasks.</w:t>
      </w:r>
    </w:p>
    <w:p>
      <w:pPr>
        <w:pStyle w:val="BodyText"/>
      </w:pPr>
      <w:r>
        <w:rPr>
          <w:b/>
          <w:bCs/>
        </w:rPr>
        <w:t xml:space="preserve">Primary outcomes:</w:t>
      </w:r>
      <w:r>
        <w:t xml:space="preserve"> </w:t>
      </w:r>
      <w:r>
        <w:t xml:space="preserve">strategy diversity, pruning resilience, bond health, insight quality, rationalization, standing, and cross-context transfer.</w:t>
      </w:r>
    </w:p>
    <w:p>
      <w:pPr>
        <w:pStyle w:val="BodyText"/>
      </w:pPr>
      <w:r>
        <w:rPr>
          <w:b/>
          <w:bCs/>
        </w:rPr>
        <w:t xml:space="preserve">Falsifier:</w:t>
      </w:r>
      <w:r>
        <w:t xml:space="preserve"> </w:t>
      </w:r>
      <w:r>
        <w:t xml:space="preserve">The biome is experienced as arbitrary gamification, fails to produce transfer, or creates adverse selection and capture.</w:t>
      </w:r>
    </w:p>
    <w:bookmarkEnd w:id="207"/>
    <w:bookmarkStart w:id="208" w:name="receipt-mediated-terrain-learning"/>
    <w:p>
      <w:pPr>
        <w:pStyle w:val="Heading3"/>
      </w:pPr>
      <w:r>
        <w:t xml:space="preserve">68.9 Receipt-mediated terrain learning</w:t>
      </w:r>
    </w:p>
    <w:p>
      <w:pPr>
        <w:pStyle w:val="FirstParagraph"/>
      </w:pPr>
      <w:r>
        <w:rPr>
          <w:b/>
          <w:bCs/>
        </w:rPr>
        <w:t xml:space="preserve">Question:</w:t>
      </w:r>
      <w:r>
        <w:t xml:space="preserve"> </w:t>
      </w:r>
      <w:r>
        <w:t xml:space="preserve">Does receipt-visible behavior produce concentrated, source-disjoint terrain movement over repeated cycles?</w:t>
      </w:r>
    </w:p>
    <w:p>
      <w:pPr>
        <w:pStyle w:val="BodyText"/>
      </w:pPr>
      <w:r>
        <w:rPr>
          <w:b/>
          <w:bCs/>
        </w:rPr>
        <w:t xml:space="preserve">Design:</w:t>
      </w:r>
      <w:r>
        <w:t xml:space="preserve"> </w:t>
      </w:r>
      <w:r>
        <w:t xml:space="preserve">Run multiple governed trainer passes with touched patterns, untouched controls, lexical stuffing, declared-lane manipulation, and behavior without receipts.</w:t>
      </w:r>
    </w:p>
    <w:p>
      <w:pPr>
        <w:pStyle w:val="BodyText"/>
      </w:pPr>
      <w:r>
        <w:rPr>
          <w:b/>
          <w:bCs/>
        </w:rPr>
        <w:t xml:space="preserve">Primary outcomes:</w:t>
      </w:r>
      <w:r>
        <w:t xml:space="preserve"> </w:t>
      </w:r>
      <w:r>
        <w:t xml:space="preserve">concentration ratio, false flattery, sustained crossing, drift, and correction.</w:t>
      </w:r>
    </w:p>
    <w:p>
      <w:pPr>
        <w:pStyle w:val="BodyText"/>
      </w:pPr>
      <w:r>
        <w:rPr>
          <w:b/>
          <w:bCs/>
        </w:rPr>
        <w:t xml:space="preserve">Falsifier:</w:t>
      </w:r>
      <w:r>
        <w:t xml:space="preserve"> </w:t>
      </w:r>
      <w:r>
        <w:t xml:space="preserve">Motion follows declared labels or generic activity rather than receipted behavior.</w:t>
      </w:r>
    </w:p>
    <w:bookmarkEnd w:id="208"/>
    <w:bookmarkStart w:id="209" w:name="parent-gated-estate-integration-1"/>
    <w:p>
      <w:pPr>
        <w:pStyle w:val="Heading3"/>
      </w:pPr>
      <w:r>
        <w:t xml:space="preserve">68.10 Parent-gated estate integration</w:t>
      </w:r>
    </w:p>
    <w:p>
      <w:pPr>
        <w:pStyle w:val="FirstParagraph"/>
      </w:pPr>
      <w:r>
        <w:rPr>
          <w:b/>
          <w:bCs/>
        </w:rPr>
        <w:t xml:space="preserve">Question:</w:t>
      </w:r>
      <w:r>
        <w:t xml:space="preserve"> </w:t>
      </w:r>
      <w:r>
        <w:t xml:space="preserve">Do parent invariants improve correction survival and reduce false completion across independently developed estates?</w:t>
      </w:r>
    </w:p>
    <w:p>
      <w:pPr>
        <w:pStyle w:val="BodyText"/>
      </w:pPr>
      <w:r>
        <w:rPr>
          <w:b/>
          <w:bCs/>
        </w:rPr>
        <w:t xml:space="preserve">Design:</w:t>
      </w:r>
      <w:r>
        <w:t xml:space="preserve"> </w:t>
      </w:r>
      <w:r>
        <w:t xml:space="preserve">Integrate modules with and without parent gates, then inject source-tense, authority, center-capture, dependency, and lifecycle faults.</w:t>
      </w:r>
    </w:p>
    <w:p>
      <w:pPr>
        <w:pStyle w:val="BodyText"/>
      </w:pPr>
      <w:r>
        <w:rPr>
          <w:b/>
          <w:bCs/>
        </w:rPr>
        <w:t xml:space="preserve">Primary outcomes:</w:t>
      </w:r>
      <w:r>
        <w:t xml:space="preserve"> </w:t>
      </w:r>
      <w:r>
        <w:t xml:space="preserve">false promotion, correction completeness, coordination cost, availability, and time to recover.</w:t>
      </w:r>
    </w:p>
    <w:p>
      <w:pPr>
        <w:pStyle w:val="BodyText"/>
      </w:pPr>
      <w:r>
        <w:rPr>
          <w:b/>
          <w:bCs/>
        </w:rPr>
        <w:t xml:space="preserve">Falsifier:</w:t>
      </w:r>
      <w:r>
        <w:t xml:space="preserve"> </w:t>
      </w:r>
      <w:r>
        <w:t xml:space="preserve">Parent gates add cost without preventing material cross-estate failure.</w:t>
      </w:r>
    </w:p>
    <w:bookmarkEnd w:id="209"/>
    <w:bookmarkEnd w:id="210"/>
    <w:bookmarkStart w:id="211" w:name="preregistration-and-release-discipline"/>
    <w:p>
      <w:pPr>
        <w:pStyle w:val="Heading2"/>
      </w:pPr>
      <w:r>
        <w:t xml:space="preserve">69. Preregistration and release discipline</w:t>
      </w:r>
    </w:p>
    <w:p>
      <w:pPr>
        <w:pStyle w:val="FirstParagraph"/>
      </w:pPr>
      <w:r>
        <w:t xml:space="preserve">Every research lane should publish:</w:t>
      </w:r>
    </w:p>
    <w:p>
      <w:pPr>
        <w:pStyle w:val="Compact"/>
        <w:numPr>
          <w:ilvl w:val="0"/>
          <w:numId w:val="1016"/>
        </w:numPr>
      </w:pPr>
      <w:r>
        <w:t xml:space="preserve">claim identifiers;</w:t>
      </w:r>
    </w:p>
    <w:p>
      <w:pPr>
        <w:pStyle w:val="Compact"/>
        <w:numPr>
          <w:ilvl w:val="0"/>
          <w:numId w:val="1016"/>
        </w:numPr>
      </w:pPr>
      <w:r>
        <w:t xml:space="preserve">evidence lane and source-tense;</w:t>
      </w:r>
    </w:p>
    <w:p>
      <w:pPr>
        <w:pStyle w:val="Compact"/>
        <w:numPr>
          <w:ilvl w:val="0"/>
          <w:numId w:val="1016"/>
        </w:numPr>
      </w:pPr>
      <w:r>
        <w:t xml:space="preserve">configuration and code digests;</w:t>
      </w:r>
    </w:p>
    <w:p>
      <w:pPr>
        <w:pStyle w:val="Compact"/>
        <w:numPr>
          <w:ilvl w:val="0"/>
          <w:numId w:val="1016"/>
        </w:numPr>
      </w:pPr>
      <w:r>
        <w:t xml:space="preserve">task and population scope;</w:t>
      </w:r>
    </w:p>
    <w:p>
      <w:pPr>
        <w:pStyle w:val="Compact"/>
        <w:numPr>
          <w:ilvl w:val="0"/>
          <w:numId w:val="1016"/>
        </w:numPr>
      </w:pPr>
      <w:r>
        <w:t xml:space="preserve">primary and secondary outcomes;</w:t>
      </w:r>
    </w:p>
    <w:p>
      <w:pPr>
        <w:pStyle w:val="Compact"/>
        <w:numPr>
          <w:ilvl w:val="0"/>
          <w:numId w:val="1016"/>
        </w:numPr>
      </w:pPr>
      <w:r>
        <w:t xml:space="preserve">controls and ablations;</w:t>
      </w:r>
    </w:p>
    <w:p>
      <w:pPr>
        <w:pStyle w:val="Compact"/>
        <w:numPr>
          <w:ilvl w:val="0"/>
          <w:numId w:val="1016"/>
        </w:numPr>
      </w:pPr>
      <w:r>
        <w:t xml:space="preserve">null handling;</w:t>
      </w:r>
    </w:p>
    <w:p>
      <w:pPr>
        <w:pStyle w:val="Compact"/>
        <w:numPr>
          <w:ilvl w:val="0"/>
          <w:numId w:val="1016"/>
        </w:numPr>
      </w:pPr>
      <w:r>
        <w:t xml:space="preserve">exclusion criteria;</w:t>
      </w:r>
    </w:p>
    <w:p>
      <w:pPr>
        <w:pStyle w:val="Compact"/>
        <w:numPr>
          <w:ilvl w:val="0"/>
          <w:numId w:val="1016"/>
        </w:numPr>
      </w:pPr>
      <w:r>
        <w:t xml:space="preserve">adverse-lane measures;</w:t>
      </w:r>
    </w:p>
    <w:p>
      <w:pPr>
        <w:pStyle w:val="Compact"/>
        <w:numPr>
          <w:ilvl w:val="0"/>
          <w:numId w:val="1016"/>
        </w:numPr>
      </w:pPr>
      <w:r>
        <w:t xml:space="preserve">analysis plan;</w:t>
      </w:r>
    </w:p>
    <w:p>
      <w:pPr>
        <w:pStyle w:val="Compact"/>
        <w:numPr>
          <w:ilvl w:val="0"/>
          <w:numId w:val="1016"/>
        </w:numPr>
      </w:pPr>
      <w:r>
        <w:t xml:space="preserve">release boundary;</w:t>
      </w:r>
    </w:p>
    <w:p>
      <w:pPr>
        <w:pStyle w:val="Compact"/>
        <w:numPr>
          <w:ilvl w:val="0"/>
          <w:numId w:val="1016"/>
        </w:numPr>
      </w:pPr>
      <w:r>
        <w:t xml:space="preserve">correction and retraction path.</w:t>
      </w:r>
    </w:p>
    <w:p>
      <w:pPr>
        <w:pStyle w:val="FirstParagraph"/>
      </w:pPr>
      <w:r>
        <w:t xml:space="preserve">The paper’s claim register is designed to survive revision. A failed hypothesis is not deleted. It is demoted, localized, or disproven under a declared scope. The downstream papers that cite it can then be found and corrected.</w:t>
      </w:r>
    </w:p>
    <w:bookmarkEnd w:id="211"/>
    <w:bookmarkStart w:id="212" w:name="governance-of-quantitative-thresholds"/>
    <w:p>
      <w:pPr>
        <w:pStyle w:val="Heading2"/>
      </w:pPr>
      <w:r>
        <w:t xml:space="preserve">70. Governance of quantitative thresholds</w:t>
      </w:r>
    </w:p>
    <w:p>
      <w:pPr>
        <w:pStyle w:val="FirstParagraph"/>
      </w:pPr>
      <w:r>
        <w:t xml:space="preserve">A number is not governance merely because it is precise. Several native specifications intentionally mark thresholds as provisional: buffer TTLs, biome depletion cycles, monopoly percentages, visa windows, bond thresholds, emission budgets, and cohort escalation conditions. The mechanism is implemented, but the number lacks operational calibration.</w:t>
      </w:r>
    </w:p>
    <w:p>
      <w:pPr>
        <w:pStyle w:val="BodyText"/>
      </w:pPr>
      <w:r>
        <w:t xml:space="preserve">FORKED requires every quantitative threshold to carry:</w:t>
      </w:r>
    </w:p>
    <w:p>
      <w:pPr>
        <w:pStyle w:val="SourceCode"/>
      </w:pPr>
      <w:r>
        <w:rPr>
          <w:rStyle w:val="VerbatimChar"/>
        </w:rPr>
        <w:t xml:space="preserve">threshold_id</w:t>
      </w:r>
      <w:r>
        <w:br/>
      </w:r>
      <w:r>
        <w:rPr>
          <w:rStyle w:val="VerbatimChar"/>
        </w:rPr>
        <w:t xml:space="preserve">mechanism</w:t>
      </w:r>
      <w:r>
        <w:br/>
      </w:r>
      <w:r>
        <w:rPr>
          <w:rStyle w:val="VerbatimChar"/>
        </w:rPr>
        <w:t xml:space="preserve">value and units</w:t>
      </w:r>
      <w:r>
        <w:br/>
      </w:r>
      <w:r>
        <w:rPr>
          <w:rStyle w:val="VerbatimChar"/>
        </w:rPr>
        <w:t xml:space="preserve">responsibility_class</w:t>
      </w:r>
      <w:r>
        <w:br/>
      </w:r>
      <w:r>
        <w:rPr>
          <w:rStyle w:val="VerbatimChar"/>
        </w:rPr>
        <w:t xml:space="preserve">source and source-tense</w:t>
      </w:r>
      <w:r>
        <w:br/>
      </w:r>
      <w:r>
        <w:rPr>
          <w:rStyle w:val="VerbatimChar"/>
        </w:rPr>
        <w:t xml:space="preserve">calibration dataset</w:t>
      </w:r>
      <w:r>
        <w:br/>
      </w:r>
      <w:r>
        <w:rPr>
          <w:rStyle w:val="VerbatimChar"/>
        </w:rPr>
        <w:t xml:space="preserve">confidence class</w:t>
      </w:r>
      <w:r>
        <w:br/>
      </w:r>
      <w:r>
        <w:rPr>
          <w:rStyle w:val="VerbatimChar"/>
        </w:rPr>
        <w:t xml:space="preserve">validity interval</w:t>
      </w:r>
      <w:r>
        <w:br/>
      </w:r>
      <w:r>
        <w:rPr>
          <w:rStyle w:val="VerbatimChar"/>
        </w:rPr>
        <w:t xml:space="preserve">sensitivity analysis</w:t>
      </w:r>
      <w:r>
        <w:br/>
      </w:r>
      <w:r>
        <w:rPr>
          <w:rStyle w:val="VerbatimChar"/>
        </w:rPr>
        <w:t xml:space="preserve">false-positive cost</w:t>
      </w:r>
      <w:r>
        <w:br/>
      </w:r>
      <w:r>
        <w:rPr>
          <w:rStyle w:val="VerbatimChar"/>
        </w:rPr>
        <w:t xml:space="preserve">false-negative cost</w:t>
      </w:r>
      <w:r>
        <w:br/>
      </w:r>
      <w:r>
        <w:rPr>
          <w:rStyle w:val="VerbatimChar"/>
        </w:rPr>
        <w:t xml:space="preserve">action and delay PONR</w:t>
      </w:r>
      <w:r>
        <w:br/>
      </w:r>
      <w:r>
        <w:rPr>
          <w:rStyle w:val="VerbatimChar"/>
        </w:rPr>
        <w:t xml:space="preserve">owner</w:t>
      </w:r>
      <w:r>
        <w:br/>
      </w:r>
      <w:r>
        <w:rPr>
          <w:rStyle w:val="VerbatimChar"/>
        </w:rPr>
        <w:t xml:space="preserve">authority to change</w:t>
      </w:r>
      <w:r>
        <w:br/>
      </w:r>
      <w:r>
        <w:rPr>
          <w:rStyle w:val="VerbatimChar"/>
        </w:rPr>
        <w:t xml:space="preserve">reopen condition</w:t>
      </w:r>
    </w:p>
    <w:p>
      <w:pPr>
        <w:pStyle w:val="FirstParagraph"/>
      </w:pPr>
      <w:r>
        <w:t xml:space="preserve">A provisional threshold may govern a synthetic range or sandbox. It may not silently become constitutional law. Conversely, the absence of calibrated evidence does not require the architecture to omit the mechanism or pretend the current starting value is unknowable. It requires the state to remain explicit.</w:t>
      </w:r>
    </w:p>
    <w:bookmarkEnd w:id="212"/>
    <w:bookmarkStart w:id="213" w:name="security-model"/>
    <w:p>
      <w:pPr>
        <w:pStyle w:val="Heading2"/>
      </w:pPr>
      <w:r>
        <w:t xml:space="preserve">71. Security model</w:t>
      </w:r>
    </w:p>
    <w:p>
      <w:pPr>
        <w:pStyle w:val="FirstParagraph"/>
      </w:pPr>
      <w:r>
        <w:t xml:space="preserve">FORKED’s security model covers more than confidentiality and integrity. It includes epistemic and authority integrity.</w:t>
      </w:r>
    </w:p>
    <w:p>
      <w:pPr>
        <w:pStyle w:val="BodyText"/>
      </w:pPr>
      <w:r>
        <w:t xml:space="preserve">Threat classes include:</w:t>
      </w:r>
    </w:p>
    <w:p>
      <w:pPr>
        <w:pStyle w:val="Compact"/>
        <w:numPr>
          <w:ilvl w:val="0"/>
          <w:numId w:val="1017"/>
        </w:numPr>
      </w:pPr>
      <w:r>
        <w:t xml:space="preserve">source substitution;</w:t>
      </w:r>
    </w:p>
    <w:p>
      <w:pPr>
        <w:pStyle w:val="Compact"/>
        <w:numPr>
          <w:ilvl w:val="0"/>
          <w:numId w:val="1017"/>
        </w:numPr>
      </w:pPr>
      <w:r>
        <w:t xml:space="preserve">stale canonical intent;</w:t>
      </w:r>
    </w:p>
    <w:p>
      <w:pPr>
        <w:pStyle w:val="Compact"/>
        <w:numPr>
          <w:ilvl w:val="0"/>
          <w:numId w:val="1017"/>
        </w:numPr>
      </w:pPr>
      <w:r>
        <w:t xml:space="preserve">runtime drift;</w:t>
      </w:r>
    </w:p>
    <w:p>
      <w:pPr>
        <w:pStyle w:val="Compact"/>
        <w:numPr>
          <w:ilvl w:val="0"/>
          <w:numId w:val="1017"/>
        </w:numPr>
      </w:pPr>
      <w:r>
        <w:t xml:space="preserve">sensor spoofing or calibration failure;</w:t>
      </w:r>
    </w:p>
    <w:p>
      <w:pPr>
        <w:pStyle w:val="Compact"/>
        <w:numPr>
          <w:ilvl w:val="0"/>
          <w:numId w:val="1017"/>
        </w:numPr>
      </w:pPr>
      <w:r>
        <w:t xml:space="preserve">temporal misalignment;</w:t>
      </w:r>
    </w:p>
    <w:p>
      <w:pPr>
        <w:pStyle w:val="Compact"/>
        <w:numPr>
          <w:ilvl w:val="0"/>
          <w:numId w:val="1017"/>
        </w:numPr>
      </w:pPr>
      <w:r>
        <w:t xml:space="preserve">observer-specific projection contamination;</w:t>
      </w:r>
    </w:p>
    <w:p>
      <w:pPr>
        <w:pStyle w:val="Compact"/>
        <w:numPr>
          <w:ilvl w:val="0"/>
          <w:numId w:val="1017"/>
        </w:numPr>
      </w:pPr>
      <w:r>
        <w:t xml:space="preserve">model overconfidence;</w:t>
      </w:r>
    </w:p>
    <w:p>
      <w:pPr>
        <w:pStyle w:val="Compact"/>
        <w:numPr>
          <w:ilvl w:val="0"/>
          <w:numId w:val="1017"/>
        </w:numPr>
      </w:pPr>
      <w:r>
        <w:t xml:space="preserve">interface confidence theater;</w:t>
      </w:r>
    </w:p>
    <w:p>
      <w:pPr>
        <w:pStyle w:val="Compact"/>
        <w:numPr>
          <w:ilvl w:val="0"/>
          <w:numId w:val="1017"/>
        </w:numPr>
      </w:pPr>
      <w:r>
        <w:t xml:space="preserve">authority spoofing;</w:t>
      </w:r>
    </w:p>
    <w:p>
      <w:pPr>
        <w:pStyle w:val="Compact"/>
        <w:numPr>
          <w:ilvl w:val="0"/>
          <w:numId w:val="1017"/>
        </w:numPr>
      </w:pPr>
      <w:r>
        <w:t xml:space="preserve">nominal human approval;</w:t>
      </w:r>
    </w:p>
    <w:p>
      <w:pPr>
        <w:pStyle w:val="Compact"/>
        <w:numPr>
          <w:ilvl w:val="0"/>
          <w:numId w:val="1017"/>
        </w:numPr>
      </w:pPr>
      <w:r>
        <w:t xml:space="preserve">hidden dependency;</w:t>
      </w:r>
    </w:p>
    <w:p>
      <w:pPr>
        <w:pStyle w:val="Compact"/>
        <w:numPr>
          <w:ilvl w:val="0"/>
          <w:numId w:val="1017"/>
        </w:numPr>
      </w:pPr>
      <w:r>
        <w:t xml:space="preserve">cache poisoning;</w:t>
      </w:r>
    </w:p>
    <w:p>
      <w:pPr>
        <w:pStyle w:val="Compact"/>
        <w:numPr>
          <w:ilvl w:val="0"/>
          <w:numId w:val="1017"/>
        </w:numPr>
      </w:pPr>
      <w:r>
        <w:t xml:space="preserve">correction suppression;</w:t>
      </w:r>
    </w:p>
    <w:p>
      <w:pPr>
        <w:pStyle w:val="Compact"/>
        <w:numPr>
          <w:ilvl w:val="0"/>
          <w:numId w:val="1017"/>
        </w:numPr>
      </w:pPr>
      <w:r>
        <w:t xml:space="preserve">center capture;</w:t>
      </w:r>
    </w:p>
    <w:p>
      <w:pPr>
        <w:pStyle w:val="Compact"/>
        <w:numPr>
          <w:ilvl w:val="0"/>
          <w:numId w:val="1017"/>
        </w:numPr>
      </w:pPr>
      <w:r>
        <w:t xml:space="preserve">mission-horizon laundering;</w:t>
      </w:r>
    </w:p>
    <w:p>
      <w:pPr>
        <w:pStyle w:val="Compact"/>
        <w:numPr>
          <w:ilvl w:val="0"/>
          <w:numId w:val="1017"/>
        </w:numPr>
      </w:pPr>
      <w:r>
        <w:t xml:space="preserve">economic anchor mutation;</w:t>
      </w:r>
    </w:p>
    <w:p>
      <w:pPr>
        <w:pStyle w:val="Compact"/>
        <w:numPr>
          <w:ilvl w:val="0"/>
          <w:numId w:val="1017"/>
        </w:numPr>
      </w:pPr>
      <w:r>
        <w:t xml:space="preserve">shadow/live coupling;</w:t>
      </w:r>
    </w:p>
    <w:p>
      <w:pPr>
        <w:pStyle w:val="Compact"/>
        <w:numPr>
          <w:ilvl w:val="0"/>
          <w:numId w:val="1017"/>
        </w:numPr>
      </w:pPr>
      <w:r>
        <w:t xml:space="preserve">silent egress;</w:t>
      </w:r>
    </w:p>
    <w:p>
      <w:pPr>
        <w:pStyle w:val="Compact"/>
        <w:numPr>
          <w:ilvl w:val="0"/>
          <w:numId w:val="1017"/>
        </w:numPr>
      </w:pPr>
      <w:r>
        <w:t xml:space="preserve">indefinite suspension;</w:t>
      </w:r>
    </w:p>
    <w:p>
      <w:pPr>
        <w:pStyle w:val="Compact"/>
        <w:numPr>
          <w:ilvl w:val="0"/>
          <w:numId w:val="1017"/>
        </w:numPr>
      </w:pPr>
      <w:r>
        <w:t xml:space="preserve">forced premature closure.</w:t>
      </w:r>
    </w:p>
    <w:p>
      <w:pPr>
        <w:pStyle w:val="FirstParagraph"/>
      </w:pPr>
      <w:r>
        <w:t xml:space="preserve">Controls include typed source-tense, runtime identity, independent time, deterministic admission, receipt roots, TTLs, quarantine, append-only correction, dual clamps, parent gates, non-canonical local writers, and explicit release boundaries.</w:t>
      </w:r>
    </w:p>
    <w:p>
      <w:pPr>
        <w:pStyle w:val="BodyText"/>
      </w:pPr>
      <w:r>
        <w:t xml:space="preserve">The security goal is not to make every observer see the same world. It is to make divergence legible, bounded, correctable, and unable to seize protected mutation authority silently.</w:t>
      </w:r>
    </w:p>
    <w:bookmarkEnd w:id="213"/>
    <w:bookmarkStart w:id="214" w:name="privacy-and-dignity"/>
    <w:p>
      <w:pPr>
        <w:pStyle w:val="Heading2"/>
      </w:pPr>
      <w:r>
        <w:t xml:space="preserve">72. Privacy and dignity</w:t>
      </w:r>
    </w:p>
    <w:p>
      <w:pPr>
        <w:pStyle w:val="FirstParagraph"/>
      </w:pPr>
      <w:r>
        <w:t xml:space="preserve">Observer-indexed systems can become surveillance systems if every sensory event, gaze trace, reaction, or inferred belief is retained. FORKED applies data minimization structurally:</w:t>
      </w:r>
    </w:p>
    <w:p>
      <w:pPr>
        <w:pStyle w:val="Compact"/>
        <w:numPr>
          <w:ilvl w:val="0"/>
          <w:numId w:val="1018"/>
        </w:numPr>
      </w:pPr>
      <w:r>
        <w:t xml:space="preserve">sensory buffers expire by default;</w:t>
      </w:r>
    </w:p>
    <w:p>
      <w:pPr>
        <w:pStyle w:val="Compact"/>
        <w:numPr>
          <w:ilvl w:val="0"/>
          <w:numId w:val="1018"/>
        </w:numPr>
      </w:pPr>
      <w:r>
        <w:t xml:space="preserve">gaze and reaction data are treated as bounded observables, not mental truth;</w:t>
      </w:r>
    </w:p>
    <w:p>
      <w:pPr>
        <w:pStyle w:val="Compact"/>
        <w:numPr>
          <w:ilvl w:val="0"/>
          <w:numId w:val="1018"/>
        </w:numPr>
      </w:pPr>
      <w:r>
        <w:t xml:space="preserve">belief-state outputs preserve alternative explanations;</w:t>
      </w:r>
    </w:p>
    <w:p>
      <w:pPr>
        <w:pStyle w:val="Compact"/>
        <w:numPr>
          <w:ilvl w:val="0"/>
          <w:numId w:val="1018"/>
        </w:numPr>
      </w:pPr>
      <w:r>
        <w:t xml:space="preserve">elevation requires a governance-significant rationale;</w:t>
      </w:r>
    </w:p>
    <w:p>
      <w:pPr>
        <w:pStyle w:val="Compact"/>
        <w:numPr>
          <w:ilvl w:val="0"/>
          <w:numId w:val="1018"/>
        </w:numPr>
      </w:pPr>
      <w:r>
        <w:t xml:space="preserve">affected actors receive notice where appropriate;</w:t>
      </w:r>
    </w:p>
    <w:p>
      <w:pPr>
        <w:pStyle w:val="Compact"/>
        <w:numPr>
          <w:ilvl w:val="0"/>
          <w:numId w:val="1018"/>
        </w:numPr>
      </w:pPr>
      <w:r>
        <w:t xml:space="preserve">access and purpose remain scoped;</w:t>
      </w:r>
    </w:p>
    <w:p>
      <w:pPr>
        <w:pStyle w:val="Compact"/>
        <w:numPr>
          <w:ilvl w:val="0"/>
          <w:numId w:val="1018"/>
        </w:numPr>
      </w:pPr>
      <w:r>
        <w:t xml:space="preserve">liability and correction rights remain visible;</w:t>
      </w:r>
    </w:p>
    <w:p>
      <w:pPr>
        <w:pStyle w:val="Compact"/>
        <w:numPr>
          <w:ilvl w:val="0"/>
          <w:numId w:val="1018"/>
        </w:numPr>
      </w:pPr>
      <w:r>
        <w:t xml:space="preserve">research separates performance instrumentation from employment or disciplinary use.</w:t>
      </w:r>
    </w:p>
    <w:p>
      <w:pPr>
        <w:pStyle w:val="FirstParagraph"/>
      </w:pPr>
      <w:r>
        <w:t xml:space="preserve">The architecture cannot guarantee dignity through schema alone. It can prevent a system from pretending that continuous observation is neutral or that an inferred belief is a fact about the person.</w:t>
      </w:r>
    </w:p>
    <w:bookmarkEnd w:id="214"/>
    <w:bookmarkStart w:id="215" w:name="X8a68c5825700b4aa0dcfbfdd72e5904de3924f6"/>
    <w:p>
      <w:pPr>
        <w:pStyle w:val="Heading2"/>
      </w:pPr>
      <w:r>
        <w:t xml:space="preserve">73. Law, authority, and armed-conflict boundary</w:t>
      </w:r>
    </w:p>
    <w:p>
      <w:pPr>
        <w:pStyle w:val="FirstParagraph"/>
      </w:pPr>
      <w:r>
        <w:t xml:space="preserve">Any real-world deployment in armed conflict remains subject to applicable law, command authority, rules of engagement, weapon review, verification and validation, and human control requirements. DoD policy on autonomous weapon systems emphasizes responsible use, appropriate levels of human judgment, testing, safety, and the ability to deactivate systems that demonstrate unintended behavior.</w:t>
      </w:r>
      <w:r>
        <w:t xml:space="preserve"> </w:t>
      </w:r>
      <w:hyperlink w:anchor="ref-DoD300009">
        <w:r>
          <w:rPr>
            <w:rStyle w:val="Hyperlink"/>
          </w:rPr>
          <w:t xml:space="preserve">[57]</w:t>
        </w:r>
      </w:hyperlink>
      <w:r>
        <w:t xml:space="preserve"> </w:t>
      </w:r>
      <w:r>
        <w:t xml:space="preserve">The ICRC has separately argued for limits and meaningful human control over autonomous weapon systems.</w:t>
      </w:r>
      <w:r>
        <w:t xml:space="preserve"> </w:t>
      </w:r>
      <w:hyperlink w:anchor="ref-ICRC2021AWS">
        <w:r>
          <w:rPr>
            <w:rStyle w:val="Hyperlink"/>
          </w:rPr>
          <w:t xml:space="preserve">[58]</w:t>
        </w:r>
      </w:hyperlink>
    </w:p>
    <w:p>
      <w:pPr>
        <w:pStyle w:val="BodyText"/>
      </w:pPr>
      <w:r>
        <w:t xml:space="preserve">FORKED does not grant lawful authority. It represents authority and prevents models, interfaces, or local declarations from acquiring it implicitly. The public architecture is suitable for assurance, assessment integrity, training, and correction. Operational application requires a separately governed estate, lawful mandate, and release review.</w:t>
      </w:r>
    </w:p>
    <w:bookmarkEnd w:id="215"/>
    <w:bookmarkStart w:id="216" w:name="non-universality-by-design"/>
    <w:p>
      <w:pPr>
        <w:pStyle w:val="Heading2"/>
      </w:pPr>
      <w:r>
        <w:t xml:space="preserve">74. Non-universality by design</w:t>
      </w:r>
    </w:p>
    <w:p>
      <w:pPr>
        <w:pStyle w:val="FirstParagraph"/>
      </w:pPr>
      <w:r>
        <w:t xml:space="preserve">FORKED is extensible but not globally uniform.</w:t>
      </w:r>
    </w:p>
    <w:p>
      <w:pPr>
        <w:pStyle w:val="BodyText"/>
      </w:pPr>
      <w:r>
        <w:t xml:space="preserve">The six facets recur because they are constitutional reads, but their content and depth are local. Physical invariants differ from economic anchors. Jurisdiction differs from mission authority. A human agency envelope in medicine differs from one in software deployment. Cultural fable recognition differs across populations. A remote-compute egress boundary differs from a cross-biome visa boundary.</w:t>
      </w:r>
    </w:p>
    <w:p>
      <w:pPr>
        <w:pStyle w:val="BodyText"/>
      </w:pPr>
      <w:r>
        <w:t xml:space="preserve">The architecture therefore supports three kinds of variation:</w:t>
      </w:r>
    </w:p>
    <w:p>
      <w:pPr>
        <w:pStyle w:val="Compact"/>
        <w:numPr>
          <w:ilvl w:val="0"/>
          <w:numId w:val="1019"/>
        </w:numPr>
      </w:pPr>
      <w:r>
        <w:rPr>
          <w:b/>
          <w:bCs/>
        </w:rPr>
        <w:t xml:space="preserve">Parameter variation:</w:t>
      </w:r>
      <w:r>
        <w:t xml:space="preserve"> </w:t>
      </w:r>
      <w:r>
        <w:t xml:space="preserve">thresholds, budgets, and timing within the same mechanism.</w:t>
      </w:r>
    </w:p>
    <w:p>
      <w:pPr>
        <w:pStyle w:val="Compact"/>
        <w:numPr>
          <w:ilvl w:val="0"/>
          <w:numId w:val="1019"/>
        </w:numPr>
      </w:pPr>
      <w:r>
        <w:rPr>
          <w:b/>
          <w:bCs/>
        </w:rPr>
        <w:t xml:space="preserve">Topology variation:</w:t>
      </w:r>
      <w:r>
        <w:t xml:space="preserve"> </w:t>
      </w:r>
      <w:r>
        <w:t xml:space="preserve">different observers, dependencies, authorities, and horizons.</w:t>
      </w:r>
    </w:p>
    <w:p>
      <w:pPr>
        <w:pStyle w:val="Compact"/>
        <w:numPr>
          <w:ilvl w:val="0"/>
          <w:numId w:val="1019"/>
        </w:numPr>
      </w:pPr>
      <w:r>
        <w:rPr>
          <w:b/>
          <w:bCs/>
        </w:rPr>
        <w:t xml:space="preserve">Mechanism variation:</w:t>
      </w:r>
      <w:r>
        <w:t xml:space="preserve"> </w:t>
      </w:r>
      <w:r>
        <w:t xml:space="preserve">different lane-specific physics under the same parent invariants.</w:t>
      </w:r>
    </w:p>
    <w:p>
      <w:pPr>
        <w:pStyle w:val="FirstParagraph"/>
      </w:pPr>
      <w:r>
        <w:t xml:space="preserve">What does not vary silently is the requirement to state the scope, authority, receipts, exclusions, and correction path.</w:t>
      </w:r>
    </w:p>
    <w:bookmarkEnd w:id="216"/>
    <w:bookmarkStart w:id="225" w:name="limitations"/>
    <w:p>
      <w:pPr>
        <w:pStyle w:val="Heading2"/>
      </w:pPr>
      <w:r>
        <w:t xml:space="preserve">75. Limitations</w:t>
      </w:r>
    </w:p>
    <w:bookmarkStart w:id="217" w:name="ontology-cost"/>
    <w:p>
      <w:pPr>
        <w:pStyle w:val="Heading3"/>
      </w:pPr>
      <w:r>
        <w:t xml:space="preserve">75.1 Ontology cost</w:t>
      </w:r>
    </w:p>
    <w:p>
      <w:pPr>
        <w:pStyle w:val="FirstParagraph"/>
      </w:pPr>
      <w:r>
        <w:t xml:space="preserve">Typed distinctions create integration and cognitive cost. A poor ontology can create false precision or bypasses. FORKED therefore requires schemas to remain reviewable and supports localized dialects linked through conformation rather than one imposed vocabulary.</w:t>
      </w:r>
    </w:p>
    <w:bookmarkEnd w:id="217"/>
    <w:bookmarkStart w:id="218" w:name="boundary-selection"/>
    <w:p>
      <w:pPr>
        <w:pStyle w:val="Heading3"/>
      </w:pPr>
      <w:r>
        <w:t xml:space="preserve">75.2 Boundary selection</w:t>
      </w:r>
    </w:p>
    <w:p>
      <w:pPr>
        <w:pStyle w:val="FirstParagraph"/>
      </w:pPr>
      <w:r>
        <w:t xml:space="preserve">Humans and institutions still choose the context, horizon, authority, and telos. The architecture can expose those choices and block unauthorized expansion. It cannot make value conflicts disappear.</w:t>
      </w:r>
    </w:p>
    <w:bookmarkEnd w:id="218"/>
    <w:bookmarkStart w:id="219" w:name="unknown-dependencies"/>
    <w:p>
      <w:pPr>
        <w:pStyle w:val="Heading3"/>
      </w:pPr>
      <w:r>
        <w:t xml:space="preserve">75.3 Unknown dependencies</w:t>
      </w:r>
    </w:p>
    <w:p>
      <w:pPr>
        <w:pStyle w:val="FirstParagraph"/>
      </w:pPr>
      <w:r>
        <w:t xml:space="preserve">The meta-DAG can expose missing receipts and infer candidate edges. It cannot guarantee that every dependency is known. Stability therefore remains conformation-bound.</w:t>
      </w:r>
    </w:p>
    <w:bookmarkEnd w:id="219"/>
    <w:bookmarkStart w:id="220" w:name="fable-calibration"/>
    <w:p>
      <w:pPr>
        <w:pStyle w:val="Heading3"/>
      </w:pPr>
      <w:r>
        <w:t xml:space="preserve">75.4 Fable calibration</w:t>
      </w:r>
    </w:p>
    <w:p>
      <w:pPr>
        <w:pStyle w:val="FirstParagraph"/>
      </w:pPr>
      <w:r>
        <w:t xml:space="preserve">The current Aesop centers and spreads are authored judgment. The component is honest about that provenance. External calibration, cultural replication, and adverse-lane study remain necessary.</w:t>
      </w:r>
    </w:p>
    <w:bookmarkEnd w:id="220"/>
    <w:bookmarkStart w:id="221" w:name="human-behavior"/>
    <w:p>
      <w:pPr>
        <w:pStyle w:val="Heading3"/>
      </w:pPr>
      <w:r>
        <w:t xml:space="preserve">75.5 Human behavior</w:t>
      </w:r>
    </w:p>
    <w:p>
      <w:pPr>
        <w:pStyle w:val="FirstParagraph"/>
      </w:pPr>
      <w:r>
        <w:t xml:space="preserve">Synthetic participants do not establish human effects. Real humans can learn the interface, resist framing, experience fatigue, interpret fables differently, and carry institutional incentives absent from the generator.</w:t>
      </w:r>
    </w:p>
    <w:bookmarkEnd w:id="221"/>
    <w:bookmarkStart w:id="222" w:name="hardware-and-environment"/>
    <w:p>
      <w:pPr>
        <w:pStyle w:val="Heading3"/>
      </w:pPr>
      <w:r>
        <w:t xml:space="preserve">75.6 Hardware and environment</w:t>
      </w:r>
    </w:p>
    <w:p>
      <w:pPr>
        <w:pStyle w:val="FirstParagraph"/>
      </w:pPr>
      <w:r>
        <w:t xml:space="preserve">The native implementation does not physically instantiate sensor timing, rugged hardware, environmental conditions, or mixed-reality interfaces. Hardware-in-the-loop and field evidence remain open.</w:t>
      </w:r>
    </w:p>
    <w:bookmarkEnd w:id="222"/>
    <w:bookmarkStart w:id="223" w:name="economic-calibration"/>
    <w:p>
      <w:pPr>
        <w:pStyle w:val="Heading3"/>
      </w:pPr>
      <w:r>
        <w:t xml:space="preserve">75.7 Economic calibration</w:t>
      </w:r>
    </w:p>
    <w:p>
      <w:pPr>
        <w:pStyle w:val="FirstParagraph"/>
      </w:pPr>
      <w:r>
        <w:t xml:space="preserve">The current economic mechanics and membranes execute. Their thresholds and social consequences are not universally validated.</w:t>
      </w:r>
    </w:p>
    <w:bookmarkEnd w:id="223"/>
    <w:bookmarkStart w:id="224" w:name="complexity-as-failure-source"/>
    <w:p>
      <w:pPr>
        <w:pStyle w:val="Heading3"/>
      </w:pPr>
      <w:r>
        <w:t xml:space="preserve">75.8 Complexity as failure source</w:t>
      </w:r>
    </w:p>
    <w:p>
      <w:pPr>
        <w:pStyle w:val="FirstParagraph"/>
      </w:pPr>
      <w:r>
        <w:t xml:space="preserve">The architecture itself can become too expensive, opaque, or ceremonially applied. The over-governed synthetic result is a standing warning: governance that cannot preserve mission viability has failed its own telos.</w:t>
      </w:r>
    </w:p>
    <w:bookmarkEnd w:id="224"/>
    <w:bookmarkEnd w:id="225"/>
    <w:bookmarkStart w:id="226" w:name="falsifiers-for-the-whole-estate-thesis"/>
    <w:p>
      <w:pPr>
        <w:pStyle w:val="Heading2"/>
      </w:pPr>
      <w:r>
        <w:t xml:space="preserve">76. Falsifiers for the whole estate thesis</w:t>
      </w:r>
    </w:p>
    <w:p>
      <w:pPr>
        <w:pStyle w:val="FirstParagraph"/>
      </w:pPr>
      <w:r>
        <w:t xml:space="preserve">The FORKED thesis would be materially weakened if external evidence shows that:</w:t>
      </w:r>
    </w:p>
    <w:p>
      <w:pPr>
        <w:pStyle w:val="Compact"/>
        <w:numPr>
          <w:ilvl w:val="0"/>
          <w:numId w:val="1020"/>
        </w:numPr>
      </w:pPr>
      <w:r>
        <w:t xml:space="preserve">a simpler scalar or fused representation preserves correction equally well across the same responsibility classes;</w:t>
      </w:r>
    </w:p>
    <w:p>
      <w:pPr>
        <w:pStyle w:val="Compact"/>
        <w:numPr>
          <w:ilvl w:val="0"/>
          <w:numId w:val="1020"/>
        </w:numPr>
      </w:pPr>
      <w:r>
        <w:t xml:space="preserve">source-tense and observer separation add no material value;</w:t>
      </w:r>
    </w:p>
    <w:p>
      <w:pPr>
        <w:pStyle w:val="Compact"/>
        <w:numPr>
          <w:ilvl w:val="0"/>
          <w:numId w:val="1020"/>
        </w:numPr>
      </w:pPr>
      <w:r>
        <w:t xml:space="preserve">fixed gate stacks dominate responsibility-scaled mechanics;</w:t>
      </w:r>
    </w:p>
    <w:p>
      <w:pPr>
        <w:pStyle w:val="Compact"/>
        <w:numPr>
          <w:ilvl w:val="0"/>
          <w:numId w:val="1020"/>
        </w:numPr>
      </w:pPr>
      <w:r>
        <w:t xml:space="preserve">branch preservation cannot reduce premature closure without unacceptable delay;</w:t>
      </w:r>
    </w:p>
    <w:p>
      <w:pPr>
        <w:pStyle w:val="Compact"/>
        <w:numPr>
          <w:ilvl w:val="0"/>
          <w:numId w:val="1020"/>
        </w:numPr>
      </w:pPr>
      <w:r>
        <w:t xml:space="preserve">meaningful-agency instrumentation fails to predict control or responsibility;</w:t>
      </w:r>
    </w:p>
    <w:p>
      <w:pPr>
        <w:pStyle w:val="Compact"/>
        <w:numPr>
          <w:ilvl w:val="0"/>
          <w:numId w:val="1020"/>
        </w:numPr>
      </w:pPr>
      <w:r>
        <w:t xml:space="preserve">dependency-aware correction does not improve residue or creates worse cascades;</w:t>
      </w:r>
    </w:p>
    <w:p>
      <w:pPr>
        <w:pStyle w:val="Compact"/>
        <w:numPr>
          <w:ilvl w:val="0"/>
          <w:numId w:val="1020"/>
        </w:numPr>
      </w:pPr>
      <w:r>
        <w:t xml:space="preserve">shape-first memory consistently underperforms recency-first retrieval;</w:t>
      </w:r>
    </w:p>
    <w:p>
      <w:pPr>
        <w:pStyle w:val="Compact"/>
        <w:numPr>
          <w:ilvl w:val="0"/>
          <w:numId w:val="1020"/>
        </w:numPr>
      </w:pPr>
      <w:r>
        <w:t xml:space="preserve">fable terrain produces only bias, demand characteristics, or cultural exclusion;</w:t>
      </w:r>
    </w:p>
    <w:p>
      <w:pPr>
        <w:pStyle w:val="Compact"/>
        <w:numPr>
          <w:ilvl w:val="0"/>
          <w:numId w:val="1020"/>
        </w:numPr>
      </w:pPr>
      <w:r>
        <w:t xml:space="preserve">parent gates do not reduce cross-estate false completion;</w:t>
      </w:r>
    </w:p>
    <w:p>
      <w:pPr>
        <w:pStyle w:val="Compact"/>
        <w:numPr>
          <w:ilvl w:val="0"/>
          <w:numId w:val="1020"/>
        </w:numPr>
      </w:pPr>
      <w:r>
        <w:t xml:space="preserve">recurring assurance costs exceed the value of the correction failures avoided.</w:t>
      </w:r>
    </w:p>
    <w:p>
      <w:pPr>
        <w:pStyle w:val="FirstParagraph"/>
      </w:pPr>
      <w:r>
        <w:t xml:space="preserve">A falsifier does not erase the whole architecture automatically. It identifies which claim, lane, or mechanism must be demoted, localized, redesigned, or retired.</w:t>
      </w:r>
    </w:p>
    <w:bookmarkEnd w:id="226"/>
    <w:bookmarkStart w:id="233" w:name="roadmap"/>
    <w:p>
      <w:pPr>
        <w:pStyle w:val="Heading2"/>
      </w:pPr>
      <w:r>
        <w:t xml:space="preserve">77. Roadmap</w:t>
      </w:r>
    </w:p>
    <w:bookmarkStart w:id="227" w:name="phase-0---current"/>
    <w:p>
      <w:pPr>
        <w:pStyle w:val="Heading3"/>
      </w:pPr>
      <w:r>
        <w:t xml:space="preserve">Phase 0 - Current</w:t>
      </w:r>
    </w:p>
    <w:p>
      <w:pPr>
        <w:pStyle w:val="Compact"/>
        <w:numPr>
          <w:ilvl w:val="0"/>
          <w:numId w:val="1021"/>
        </w:numPr>
      </w:pPr>
      <w:r>
        <w:t xml:space="preserve">Ubiquity parent and production splat lineage;</w:t>
      </w:r>
    </w:p>
    <w:p>
      <w:pPr>
        <w:pStyle w:val="Compact"/>
        <w:numPr>
          <w:ilvl w:val="0"/>
          <w:numId w:val="1021"/>
        </w:numPr>
      </w:pPr>
      <w:r>
        <w:t xml:space="preserve">FORKED Native Range v1.1;</w:t>
      </w:r>
    </w:p>
    <w:p>
      <w:pPr>
        <w:pStyle w:val="Compact"/>
        <w:numPr>
          <w:ilvl w:val="0"/>
          <w:numId w:val="1021"/>
        </w:numPr>
      </w:pPr>
      <w:r>
        <w:t xml:space="preserve">source selftests and synthetic campaigns;</w:t>
      </w:r>
    </w:p>
    <w:p>
      <w:pPr>
        <w:pStyle w:val="Compact"/>
        <w:numPr>
          <w:ilvl w:val="0"/>
          <w:numId w:val="1021"/>
        </w:numPr>
      </w:pPr>
      <w:r>
        <w:t xml:space="preserve">schemas, receipts, parent gate, and release boundary;</w:t>
      </w:r>
    </w:p>
    <w:p>
      <w:pPr>
        <w:pStyle w:val="Compact"/>
        <w:numPr>
          <w:ilvl w:val="0"/>
          <w:numId w:val="1021"/>
        </w:numPr>
      </w:pPr>
      <w:r>
        <w:t xml:space="preserve">this v2 foundational whitepaper.</w:t>
      </w:r>
    </w:p>
    <w:bookmarkEnd w:id="227"/>
    <w:bookmarkStart w:id="228" w:name="phase-1---external-software-replication"/>
    <w:p>
      <w:pPr>
        <w:pStyle w:val="Heading3"/>
      </w:pPr>
      <w:r>
        <w:t xml:space="preserve">Phase 1 - External software replication</w:t>
      </w:r>
    </w:p>
    <w:p>
      <w:pPr>
        <w:pStyle w:val="Compact"/>
        <w:numPr>
          <w:ilvl w:val="0"/>
          <w:numId w:val="1022"/>
        </w:numPr>
      </w:pPr>
      <w:r>
        <w:t xml:space="preserve">independent build from the public package;</w:t>
      </w:r>
    </w:p>
    <w:p>
      <w:pPr>
        <w:pStyle w:val="Compact"/>
        <w:numPr>
          <w:ilvl w:val="0"/>
          <w:numId w:val="1022"/>
        </w:numPr>
      </w:pPr>
      <w:r>
        <w:t xml:space="preserve">held-out graph families;</w:t>
      </w:r>
    </w:p>
    <w:p>
      <w:pPr>
        <w:pStyle w:val="Compact"/>
        <w:numPr>
          <w:ilvl w:val="0"/>
          <w:numId w:val="1022"/>
        </w:numPr>
      </w:pPr>
      <w:r>
        <w:t xml:space="preserve">external source-time and correction benchmarks;</w:t>
      </w:r>
    </w:p>
    <w:p>
      <w:pPr>
        <w:pStyle w:val="Compact"/>
        <w:numPr>
          <w:ilvl w:val="0"/>
          <w:numId w:val="1022"/>
        </w:numPr>
      </w:pPr>
      <w:r>
        <w:t xml:space="preserve">natural-language lattice transport study;</w:t>
      </w:r>
    </w:p>
    <w:p>
      <w:pPr>
        <w:pStyle w:val="Compact"/>
        <w:numPr>
          <w:ilvl w:val="0"/>
          <w:numId w:val="1022"/>
        </w:numPr>
      </w:pPr>
      <w:r>
        <w:t xml:space="preserve">third-party security and provenance review.</w:t>
      </w:r>
    </w:p>
    <w:bookmarkEnd w:id="228"/>
    <w:bookmarkStart w:id="229" w:name="phase-2---human-factors"/>
    <w:p>
      <w:pPr>
        <w:pStyle w:val="Heading3"/>
      </w:pPr>
      <w:r>
        <w:t xml:space="preserve">Phase 2 - Human factors</w:t>
      </w:r>
    </w:p>
    <w:p>
      <w:pPr>
        <w:pStyle w:val="Compact"/>
        <w:numPr>
          <w:ilvl w:val="0"/>
          <w:numId w:val="1023"/>
        </w:numPr>
      </w:pPr>
      <w:r>
        <w:t xml:space="preserve">preregistered branch and reliance studies;</w:t>
      </w:r>
    </w:p>
    <w:p>
      <w:pPr>
        <w:pStyle w:val="Compact"/>
        <w:numPr>
          <w:ilvl w:val="0"/>
          <w:numId w:val="1023"/>
        </w:numPr>
      </w:pPr>
      <w:r>
        <w:t xml:space="preserve">fable/plain-language/adverse-frame experiments;</w:t>
      </w:r>
    </w:p>
    <w:p>
      <w:pPr>
        <w:pStyle w:val="Compact"/>
        <w:numPr>
          <w:ilvl w:val="0"/>
          <w:numId w:val="1023"/>
        </w:numPr>
      </w:pPr>
      <w:r>
        <w:t xml:space="preserve">meaningful-agency instrument validation;</w:t>
      </w:r>
    </w:p>
    <w:p>
      <w:pPr>
        <w:pStyle w:val="Compact"/>
        <w:numPr>
          <w:ilvl w:val="0"/>
          <w:numId w:val="1023"/>
        </w:numPr>
      </w:pPr>
      <w:r>
        <w:t xml:space="preserve">mission-horizon restatement studies;</w:t>
      </w:r>
    </w:p>
    <w:p>
      <w:pPr>
        <w:pStyle w:val="Compact"/>
        <w:numPr>
          <w:ilvl w:val="0"/>
          <w:numId w:val="1023"/>
        </w:numPr>
      </w:pPr>
      <w:r>
        <w:t xml:space="preserve">cultural and accessibility evaluation.</w:t>
      </w:r>
    </w:p>
    <w:bookmarkEnd w:id="229"/>
    <w:bookmarkStart w:id="230" w:name="phase-3---hardware-in-the-loop"/>
    <w:p>
      <w:pPr>
        <w:pStyle w:val="Heading3"/>
      </w:pPr>
      <w:r>
        <w:t xml:space="preserve">Phase 3 - Hardware-in-the-loop</w:t>
      </w:r>
    </w:p>
    <w:p>
      <w:pPr>
        <w:pStyle w:val="Compact"/>
        <w:numPr>
          <w:ilvl w:val="0"/>
          <w:numId w:val="1024"/>
        </w:numPr>
      </w:pPr>
      <w:r>
        <w:t xml:space="preserve">independent clocks and timing-fault injection;</w:t>
      </w:r>
    </w:p>
    <w:p>
      <w:pPr>
        <w:pStyle w:val="Compact"/>
        <w:numPr>
          <w:ilvl w:val="0"/>
          <w:numId w:val="1024"/>
        </w:numPr>
      </w:pPr>
      <w:r>
        <w:t xml:space="preserve">event, video, thermal, radar, and telemetry lanes;</w:t>
      </w:r>
    </w:p>
    <w:p>
      <w:pPr>
        <w:pStyle w:val="Compact"/>
        <w:numPr>
          <w:ilvl w:val="0"/>
          <w:numId w:val="1024"/>
        </w:numPr>
      </w:pPr>
      <w:r>
        <w:t xml:space="preserve">operator display and interaction instrumentation;</w:t>
      </w:r>
    </w:p>
    <w:p>
      <w:pPr>
        <w:pStyle w:val="Compact"/>
        <w:numPr>
          <w:ilvl w:val="0"/>
          <w:numId w:val="1024"/>
        </w:numPr>
      </w:pPr>
      <w:r>
        <w:t xml:space="preserve">cooperative carrier evaluation;</w:t>
      </w:r>
    </w:p>
    <w:p>
      <w:pPr>
        <w:pStyle w:val="Compact"/>
        <w:numPr>
          <w:ilvl w:val="0"/>
          <w:numId w:val="1024"/>
        </w:numPr>
      </w:pPr>
      <w:r>
        <w:t xml:space="preserve">deterministic authority appliance prototype.</w:t>
      </w:r>
    </w:p>
    <w:bookmarkEnd w:id="230"/>
    <w:bookmarkStart w:id="231" w:name="phase-4---customer-assurance-pilots"/>
    <w:p>
      <w:pPr>
        <w:pStyle w:val="Heading3"/>
      </w:pPr>
      <w:r>
        <w:t xml:space="preserve">Phase 4 - Customer assurance pilots</w:t>
      </w:r>
    </w:p>
    <w:p>
      <w:pPr>
        <w:pStyle w:val="Compact"/>
        <w:numPr>
          <w:ilvl w:val="0"/>
          <w:numId w:val="1025"/>
        </w:numPr>
      </w:pPr>
      <w:r>
        <w:t xml:space="preserve">software release assurance;</w:t>
      </w:r>
    </w:p>
    <w:p>
      <w:pPr>
        <w:pStyle w:val="Compact"/>
        <w:numPr>
          <w:ilvl w:val="0"/>
          <w:numId w:val="1025"/>
        </w:numPr>
      </w:pPr>
      <w:r>
        <w:t xml:space="preserve">industrial state-transition integrity;</w:t>
      </w:r>
    </w:p>
    <w:p>
      <w:pPr>
        <w:pStyle w:val="Compact"/>
        <w:numPr>
          <w:ilvl w:val="0"/>
          <w:numId w:val="1025"/>
        </w:numPr>
      </w:pPr>
      <w:r>
        <w:t xml:space="preserve">critical-infrastructure correction drills;</w:t>
      </w:r>
    </w:p>
    <w:p>
      <w:pPr>
        <w:pStyle w:val="Compact"/>
        <w:numPr>
          <w:ilvl w:val="0"/>
          <w:numId w:val="1025"/>
        </w:numPr>
      </w:pPr>
      <w:r>
        <w:t xml:space="preserve">configuration-aware requalification economics;</w:t>
      </w:r>
    </w:p>
    <w:p>
      <w:pPr>
        <w:pStyle w:val="Compact"/>
        <w:numPr>
          <w:ilvl w:val="0"/>
          <w:numId w:val="1025"/>
        </w:numPr>
      </w:pPr>
      <w:r>
        <w:t xml:space="preserve">institutional-memory contamination response.</w:t>
      </w:r>
    </w:p>
    <w:bookmarkEnd w:id="231"/>
    <w:bookmarkStart w:id="232" w:name="phase-5---authorized-mission-research"/>
    <w:p>
      <w:pPr>
        <w:pStyle w:val="Heading3"/>
      </w:pPr>
      <w:r>
        <w:t xml:space="preserve">Phase 5 - Authorized mission research</w:t>
      </w:r>
    </w:p>
    <w:p>
      <w:pPr>
        <w:pStyle w:val="Compact"/>
        <w:numPr>
          <w:ilvl w:val="0"/>
          <w:numId w:val="1026"/>
        </w:numPr>
      </w:pPr>
      <w:r>
        <w:t xml:space="preserve">separately governed mission-state simulations;</w:t>
      </w:r>
    </w:p>
    <w:p>
      <w:pPr>
        <w:pStyle w:val="Compact"/>
        <w:numPr>
          <w:ilvl w:val="0"/>
          <w:numId w:val="1026"/>
        </w:numPr>
      </w:pPr>
      <w:r>
        <w:t xml:space="preserve">lawful authority and release review;</w:t>
      </w:r>
    </w:p>
    <w:p>
      <w:pPr>
        <w:pStyle w:val="Compact"/>
        <w:numPr>
          <w:ilvl w:val="0"/>
          <w:numId w:val="1026"/>
        </w:numPr>
      </w:pPr>
      <w:r>
        <w:t xml:space="preserve">strategic horizon noncollapse;</w:t>
      </w:r>
    </w:p>
    <w:p>
      <w:pPr>
        <w:pStyle w:val="Compact"/>
        <w:numPr>
          <w:ilvl w:val="0"/>
          <w:numId w:val="1026"/>
        </w:numPr>
      </w:pPr>
      <w:r>
        <w:t xml:space="preserve">field-relevant verification without public operational enablement.</w:t>
      </w:r>
    </w:p>
    <w:bookmarkEnd w:id="232"/>
    <w:bookmarkEnd w:id="233"/>
    <w:bookmarkStart w:id="234" w:name="conclusion"/>
    <w:p>
      <w:pPr>
        <w:pStyle w:val="Heading2"/>
      </w:pPr>
      <w:r>
        <w:t xml:space="preserve">78. Conclusion</w:t>
      </w:r>
    </w:p>
    <w:p>
      <w:pPr>
        <w:pStyle w:val="FirstParagraph"/>
      </w:pPr>
      <w:r>
        <w:t xml:space="preserve">FORKED is not a theory that all reality is relative. It is an architecture for the fact that consequential systems act through bounded observers.</w:t>
      </w:r>
    </w:p>
    <w:p>
      <w:pPr>
        <w:pStyle w:val="BodyText"/>
      </w:pPr>
      <w:r>
        <w:t xml:space="preserve">The world remains physically, temporally, economically, institutionally, and legally constrained. What changes is whether the system can account for the path from those constraints to the state it accepts. FORKED keeps physical state separate from sensed state, sensed state separate from rendered state, rendered state separate from belief, belief separate from declaration, declaration separate from verification, and verification separate from universal truth.</w:t>
      </w:r>
    </w:p>
    <w:p>
      <w:pPr>
        <w:pStyle w:val="BodyText"/>
      </w:pPr>
      <w:r>
        <w:t xml:space="preserve">The parent substrate makes this computable. Fractal Quivers of Quivers represents the living field of lawful and forbidden motion. The splat narrows that field into a receipt-bearing local object. The held-open center prevents local coordinates from becoming crowns. The six facets provide positive structure, negative constraint, authority, complement, inversion, and purpose. Cables carry contradiction. Winches adjust pressure. Clamps govern action and delay. Absorbers make learning reversible. Fuses stop unsupported propagation. DAGs discharge bounded responsibility; quivers preserve the recurrence that returns.</w:t>
      </w:r>
    </w:p>
    <w:p>
      <w:pPr>
        <w:pStyle w:val="BodyText"/>
      </w:pPr>
      <w:r>
        <w:t xml:space="preserve">Terrain is shape-first. Fables carry trajectories rather than verdicts. Human agency is causal rather than ceremonial. Mission horizons remain distinct. Ecological, economic, sensory, institutional, and compute lanes instantiate the same invariants under different physics. Correction is not an apology attached to a report; it is a graph operation that must reach every dependent state it can lawfully identify.</w:t>
      </w:r>
    </w:p>
    <w:p>
      <w:pPr>
        <w:pStyle w:val="BodyText"/>
      </w:pPr>
      <w:r>
        <w:t xml:space="preserve">The architecture does not promise a world without uncertainty. It makes uncertainty inhabitable without making it sovereign. It does not promise that every decision will be correct. It makes the decision’s evidence, authority, burden, horizon, and correction path explicit. It does not keep every branch open. It closes branches when their scoped thresholds are met and reopens them when the receipts fail.</w:t>
      </w:r>
    </w:p>
    <w:p>
      <w:pPr>
        <w:pStyle w:val="BlockText"/>
      </w:pPr>
      <w:r>
        <w:rPr>
          <w:b/>
          <w:bCs/>
        </w:rPr>
        <w:t xml:space="preserve">The final invariant is simple: narrow the world enough to act, never so far that the slice lies about being the whole.</w:t>
      </w:r>
    </w:p>
    <w:p>
      <w:r>
        <w:br w:type="page"/>
      </w:r>
    </w:p>
    <w:bookmarkEnd w:id="234"/>
    <w:bookmarkEnd w:id="235"/>
    <w:bookmarkStart w:id="236" w:name="appendices"/>
    <w:p>
      <w:pPr>
        <w:pStyle w:val="Heading1"/>
      </w:pPr>
      <w:r>
        <w:t xml:space="preserve">Appendices</w:t>
      </w:r>
    </w:p>
    <w:bookmarkEnd w:id="236"/>
    <w:bookmarkStart w:id="248" w:name="appendix-a---formal-objects-and-notation"/>
    <w:p>
      <w:pPr>
        <w:pStyle w:val="Heading1"/>
      </w:pPr>
      <w:r>
        <w:t xml:space="preserve">Appendix A - Formal objects and notation</w:t>
      </w:r>
    </w:p>
    <w:bookmarkStart w:id="237" w:name="a.1-governed-quiver"/>
    <w:p>
      <w:pPr>
        <w:pStyle w:val="Heading2"/>
      </w:pPr>
      <w:r>
        <w:t xml:space="preserve">A.1 Governed quiver</w:t>
      </w:r>
    </w:p>
    <w:p>
      <w:pPr>
        <w:pStyle w:val="FirstParagraph"/>
      </w:pPr>
      <w:r>
        <w:t xml:space="preserve">For context</w:t>
      </w:r>
      <w:r>
        <w:t xml:space="preserve"> </w:t>
      </w:r>
      <w:r>
        <w:rPr>
          <w:rStyle w:val="VerbatimChar"/>
        </w:rPr>
        <w:t xml:space="preserve">c</w:t>
      </w:r>
      <w:r>
        <w:t xml:space="preserve">, a governed quiver is:</w:t>
      </w:r>
    </w:p>
    <w:p>
      <w:pPr>
        <w:pStyle w:val="SourceCode"/>
      </w:pPr>
      <w:r>
        <w:rPr>
          <w:rStyle w:val="VerbatimChar"/>
        </w:rPr>
        <w:t xml:space="preserve">GQ_c = (V_c, E_c, s_c, t_c, lambda_c, W_c,</w:t>
      </w:r>
      <w:r>
        <w:br/>
      </w:r>
      <w:r>
        <w:rPr>
          <w:rStyle w:val="VerbatimChar"/>
        </w:rPr>
        <w:t xml:space="preserve">        A_c, Omega_c, B_c, kappa_c, Gamma_c, T_c, Z_c)</w:t>
      </w:r>
    </w:p>
    <w:p>
      <w:pPr>
        <w:pStyle w:val="FirstParagraph"/>
      </w:pPr>
      <w:r>
        <w:rPr>
          <w:rStyle w:val="VerbatimChar"/>
        </w:rPr>
        <w:t xml:space="preserve">V_c</w:t>
      </w:r>
      <w:r>
        <w:t xml:space="preserve"> </w:t>
      </w:r>
      <w:r>
        <w:t xml:space="preserve">is the inhabitable vertex set;</w:t>
      </w:r>
      <w:r>
        <w:t xml:space="preserve"> </w:t>
      </w:r>
      <w:r>
        <w:rPr>
          <w:rStyle w:val="VerbatimChar"/>
        </w:rPr>
        <w:t xml:space="preserve">E_c</w:t>
      </w:r>
      <w:r>
        <w:t xml:space="preserve"> </w:t>
      </w:r>
      <w:r>
        <w:t xml:space="preserve">is the edge set;</w:t>
      </w:r>
      <w:r>
        <w:t xml:space="preserve"> </w:t>
      </w:r>
      <w:r>
        <w:rPr>
          <w:rStyle w:val="VerbatimChar"/>
        </w:rPr>
        <w:t xml:space="preserve">s_c</w:t>
      </w:r>
      <w:r>
        <w:t xml:space="preserve"> </w:t>
      </w:r>
      <w:r>
        <w:t xml:space="preserve">and</w:t>
      </w:r>
      <w:r>
        <w:t xml:space="preserve"> </w:t>
      </w:r>
      <w:r>
        <w:rPr>
          <w:rStyle w:val="VerbatimChar"/>
        </w:rPr>
        <w:t xml:space="preserve">t_c</w:t>
      </w:r>
      <w:r>
        <w:t xml:space="preserve"> </w:t>
      </w:r>
      <w:r>
        <w:t xml:space="preserve">are source and target maps;</w:t>
      </w:r>
      <w:r>
        <w:t xml:space="preserve"> </w:t>
      </w:r>
      <w:r>
        <w:rPr>
          <w:rStyle w:val="VerbatimChar"/>
        </w:rPr>
        <w:t xml:space="preserve">lambda_c</w:t>
      </w:r>
      <w:r>
        <w:t xml:space="preserve"> </w:t>
      </w:r>
      <w:r>
        <w:t xml:space="preserve">types the edges;</w:t>
      </w:r>
      <w:r>
        <w:t xml:space="preserve"> </w:t>
      </w:r>
      <w:r>
        <w:rPr>
          <w:rStyle w:val="VerbatimChar"/>
        </w:rPr>
        <w:t xml:space="preserve">W_c</w:t>
      </w:r>
      <w:r>
        <w:t xml:space="preserve"> </w:t>
      </w:r>
      <w:r>
        <w:t xml:space="preserve">supplies traversal cost;</w:t>
      </w:r>
      <w:r>
        <w:t xml:space="preserve"> </w:t>
      </w:r>
      <w:r>
        <w:rPr>
          <w:rStyle w:val="VerbatimChar"/>
        </w:rPr>
        <w:t xml:space="preserve">A_c</w:t>
      </w:r>
      <w:r>
        <w:t xml:space="preserve"> </w:t>
      </w:r>
      <w:r>
        <w:t xml:space="preserve">supplies anchors and duties;</w:t>
      </w:r>
      <w:r>
        <w:t xml:space="preserve"> </w:t>
      </w:r>
      <w:r>
        <w:rPr>
          <w:rStyle w:val="VerbatimChar"/>
        </w:rPr>
        <w:t xml:space="preserve">Omega_c</w:t>
      </w:r>
      <w:r>
        <w:t xml:space="preserve"> </w:t>
      </w:r>
      <w:r>
        <w:t xml:space="preserve">supplies forbidden paths;</w:t>
      </w:r>
      <w:r>
        <w:t xml:space="preserve"> </w:t>
      </w:r>
      <w:r>
        <w:rPr>
          <w:rStyle w:val="VerbatimChar"/>
        </w:rPr>
        <w:t xml:space="preserve">B_c</w:t>
      </w:r>
      <w:r>
        <w:t xml:space="preserve"> </w:t>
      </w:r>
      <w:r>
        <w:t xml:space="preserve">supplies absorbers;</w:t>
      </w:r>
      <w:r>
        <w:t xml:space="preserve"> </w:t>
      </w:r>
      <w:r>
        <w:rPr>
          <w:rStyle w:val="VerbatimChar"/>
        </w:rPr>
        <w:t xml:space="preserve">kappa_c</w:t>
      </w:r>
      <w:r>
        <w:t xml:space="preserve"> </w:t>
      </w:r>
      <w:r>
        <w:t xml:space="preserve">supplies coordination cost;</w:t>
      </w:r>
      <w:r>
        <w:t xml:space="preserve"> </w:t>
      </w:r>
      <w:r>
        <w:rPr>
          <w:rStyle w:val="VerbatimChar"/>
        </w:rPr>
        <w:t xml:space="preserve">Gamma_c</w:t>
      </w:r>
      <w:r>
        <w:t xml:space="preserve"> </w:t>
      </w:r>
      <w:r>
        <w:t xml:space="preserve">supplies receipts;</w:t>
      </w:r>
      <w:r>
        <w:t xml:space="preserve"> </w:t>
      </w:r>
      <w:r>
        <w:rPr>
          <w:rStyle w:val="VerbatimChar"/>
        </w:rPr>
        <w:t xml:space="preserve">T_c</w:t>
      </w:r>
      <w:r>
        <w:t xml:space="preserve"> </w:t>
      </w:r>
      <w:r>
        <w:t xml:space="preserve">supplies telos; and</w:t>
      </w:r>
      <w:r>
        <w:t xml:space="preserve"> </w:t>
      </w:r>
      <w:r>
        <w:rPr>
          <w:rStyle w:val="VerbatimChar"/>
        </w:rPr>
        <w:t xml:space="preserve">Z_c</w:t>
      </w:r>
      <w:r>
        <w:t xml:space="preserve"> </w:t>
      </w:r>
      <w:r>
        <w:t xml:space="preserve">is the excluded center-marker sort.</w:t>
      </w:r>
    </w:p>
    <w:bookmarkEnd w:id="237"/>
    <w:bookmarkStart w:id="238" w:name="a.2-lawful-path"/>
    <w:p>
      <w:pPr>
        <w:pStyle w:val="Heading2"/>
      </w:pPr>
      <w:r>
        <w:t xml:space="preserve">A.2 Lawful path</w:t>
      </w:r>
    </w:p>
    <w:p>
      <w:pPr>
        <w:pStyle w:val="FirstParagraph"/>
      </w:pPr>
      <w:r>
        <w:t xml:space="preserve">A path</w:t>
      </w:r>
      <w:r>
        <w:t xml:space="preserve"> </w:t>
      </w:r>
      <w:r>
        <w:rPr>
          <w:rStyle w:val="VerbatimChar"/>
        </w:rPr>
        <w:t xml:space="preserve">p</w:t>
      </w:r>
      <w:r>
        <w:t xml:space="preserve"> </w:t>
      </w:r>
      <w:r>
        <w:t xml:space="preserve">is lawful when:</w:t>
      </w:r>
    </w:p>
    <w:p>
      <w:pPr>
        <w:pStyle w:val="SourceCode"/>
      </w:pPr>
      <w:r>
        <w:rPr>
          <w:rStyle w:val="VerbatimChar"/>
        </w:rPr>
        <w:t xml:space="preserve">Lawful(p,c,t) =</w:t>
      </w:r>
      <w:r>
        <w:br/>
      </w:r>
      <w:r>
        <w:rPr>
          <w:rStyle w:val="VerbatimChar"/>
        </w:rPr>
        <w:t xml:space="preserve">  TypeValid(p)</w:t>
      </w:r>
      <w:r>
        <w:br/>
      </w:r>
      <w:r>
        <w:rPr>
          <w:rStyle w:val="VerbatimChar"/>
        </w:rPr>
        <w:t xml:space="preserve">  and p not in Omega_c</w:t>
      </w:r>
      <w:r>
        <w:br/>
      </w:r>
      <w:r>
        <w:rPr>
          <w:rStyle w:val="VerbatimChar"/>
        </w:rPr>
        <w:t xml:space="preserve">  and AnchorPreserved(p,A_c)</w:t>
      </w:r>
      <w:r>
        <w:br/>
      </w:r>
      <w:r>
        <w:rPr>
          <w:rStyle w:val="VerbatimChar"/>
        </w:rPr>
        <w:t xml:space="preserve">  and AuthorityValid(p,t)</w:t>
      </w:r>
      <w:r>
        <w:br/>
      </w:r>
      <w:r>
        <w:rPr>
          <w:rStyle w:val="VerbatimChar"/>
        </w:rPr>
        <w:t xml:space="preserve">  and StandingValid(p,t)</w:t>
      </w:r>
      <w:r>
        <w:br/>
      </w:r>
      <w:r>
        <w:rPr>
          <w:rStyle w:val="VerbatimChar"/>
        </w:rPr>
        <w:t xml:space="preserve">  and SourceTenseValid(p,t)</w:t>
      </w:r>
      <w:r>
        <w:br/>
      </w:r>
      <w:r>
        <w:rPr>
          <w:rStyle w:val="VerbatimChar"/>
        </w:rPr>
        <w:t xml:space="preserve">  and LifecycleValid(p,t)</w:t>
      </w:r>
      <w:r>
        <w:br/>
      </w:r>
      <w:r>
        <w:rPr>
          <w:rStyle w:val="VerbatimChar"/>
        </w:rPr>
        <w:t xml:space="preserve">  and ReceiptsValid(p,Gamma_c,t)</w:t>
      </w:r>
      <w:r>
        <w:br/>
      </w:r>
      <w:r>
        <w:rPr>
          <w:rStyle w:val="VerbatimChar"/>
        </w:rPr>
        <w:t xml:space="preserve">  and TelosPreserved(p,T_c)</w:t>
      </w:r>
    </w:p>
    <w:p>
      <w:pPr>
        <w:pStyle w:val="FirstParagraph"/>
      </w:pPr>
      <w:r>
        <w:t xml:space="preserve">A classifier emits a projection of the lawful path set rather than one label.</w:t>
      </w:r>
    </w:p>
    <w:bookmarkEnd w:id="238"/>
    <w:bookmarkStart w:id="239" w:name="a.3-splat"/>
    <w:p>
      <w:pPr>
        <w:pStyle w:val="Heading2"/>
      </w:pPr>
      <w:r>
        <w:t xml:space="preserve">A.3 Splat</w:t>
      </w:r>
    </w:p>
    <w:p>
      <w:pPr>
        <w:pStyle w:val="SourceCode"/>
      </w:pPr>
      <w:r>
        <w:rPr>
          <w:rStyle w:val="VerbatimChar"/>
        </w:rPr>
        <w:t xml:space="preserve">S = (F, X, R, H, D, Cw, N, U, Z)</w:t>
      </w:r>
    </w:p>
    <w:p>
      <w:pPr>
        <w:pStyle w:val="FirstParagraph"/>
      </w:pPr>
      <w:r>
        <w:t xml:space="preserve">where</w:t>
      </w:r>
      <w:r>
        <w:t xml:space="preserve"> </w:t>
      </w:r>
      <w:r>
        <w:rPr>
          <w:rStyle w:val="VerbatimChar"/>
        </w:rPr>
        <w:t xml:space="preserve">F</w:t>
      </w:r>
      <w:r>
        <w:t xml:space="preserve"> </w:t>
      </w:r>
      <w:r>
        <w:t xml:space="preserve">is the six-facet family,</w:t>
      </w:r>
      <w:r>
        <w:t xml:space="preserve"> </w:t>
      </w:r>
      <w:r>
        <w:rPr>
          <w:rStyle w:val="VerbatimChar"/>
        </w:rPr>
        <w:t xml:space="preserve">X</w:t>
      </w:r>
      <w:r>
        <w:t xml:space="preserve"> </w:t>
      </w:r>
      <w:r>
        <w:t xml:space="preserve">cross-facet edges,</w:t>
      </w:r>
      <w:r>
        <w:t xml:space="preserve"> </w:t>
      </w:r>
      <w:r>
        <w:rPr>
          <w:rStyle w:val="VerbatimChar"/>
        </w:rPr>
        <w:t xml:space="preserve">R</w:t>
      </w:r>
      <w:r>
        <w:t xml:space="preserve"> </w:t>
      </w:r>
      <w:r>
        <w:t xml:space="preserve">receipts,</w:t>
      </w:r>
      <w:r>
        <w:t xml:space="preserve"> </w:t>
      </w:r>
      <w:r>
        <w:rPr>
          <w:rStyle w:val="VerbatimChar"/>
        </w:rPr>
        <w:t xml:space="preserve">H</w:t>
      </w:r>
      <w:r>
        <w:t xml:space="preserve"> </w:t>
      </w:r>
      <w:r>
        <w:t xml:space="preserve">hypotheses and dispositions,</w:t>
      </w:r>
      <w:r>
        <w:t xml:space="preserve"> </w:t>
      </w:r>
      <w:r>
        <w:rPr>
          <w:rStyle w:val="VerbatimChar"/>
        </w:rPr>
        <w:t xml:space="preserve">D</w:t>
      </w:r>
      <w:r>
        <w:t xml:space="preserve"> </w:t>
      </w:r>
      <w:r>
        <w:t xml:space="preserve">dependency and correction state,</w:t>
      </w:r>
      <w:r>
        <w:t xml:space="preserve"> </w:t>
      </w:r>
      <w:r>
        <w:rPr>
          <w:rStyle w:val="VerbatimChar"/>
        </w:rPr>
        <w:t xml:space="preserve">Cw</w:t>
      </w:r>
      <w:r>
        <w:t xml:space="preserve"> </w:t>
      </w:r>
      <w:r>
        <w:t xml:space="preserve">working centroids,</w:t>
      </w:r>
      <w:r>
        <w:t xml:space="preserve"> </w:t>
      </w:r>
      <w:r>
        <w:rPr>
          <w:rStyle w:val="VerbatimChar"/>
        </w:rPr>
        <w:t xml:space="preserve">N</w:t>
      </w:r>
      <w:r>
        <w:t xml:space="preserve"> </w:t>
      </w:r>
      <w:r>
        <w:t xml:space="preserve">narrowing and renarrow conditions,</w:t>
      </w:r>
      <w:r>
        <w:t xml:space="preserve"> </w:t>
      </w:r>
      <w:r>
        <w:rPr>
          <w:rStyle w:val="VerbatimChar"/>
        </w:rPr>
        <w:t xml:space="preserve">U</w:t>
      </w:r>
      <w:r>
        <w:t xml:space="preserve"> </w:t>
      </w:r>
      <w:r>
        <w:t xml:space="preserve">unresolved state, and</w:t>
      </w:r>
      <w:r>
        <w:t xml:space="preserve"> </w:t>
      </w:r>
      <w:r>
        <w:rPr>
          <w:rStyle w:val="VerbatimChar"/>
        </w:rPr>
        <w:t xml:space="preserve">Z</w:t>
      </w:r>
      <w:r>
        <w:t xml:space="preserve"> </w:t>
      </w:r>
      <w:r>
        <w:t xml:space="preserve">the held-open center marker.</w:t>
      </w:r>
    </w:p>
    <w:bookmarkEnd w:id="239"/>
    <w:bookmarkStart w:id="240" w:name="a.4-center-exclusion"/>
    <w:p>
      <w:pPr>
        <w:pStyle w:val="Heading2"/>
      </w:pPr>
      <w:r>
        <w:t xml:space="preserve">A.4 Center exclusion</w:t>
      </w:r>
    </w:p>
    <w:p>
      <w:pPr>
        <w:pStyle w:val="SourceCode"/>
      </w:pPr>
      <w:r>
        <w:rPr>
          <w:rStyle w:val="VerbatimChar"/>
        </w:rPr>
        <w:t xml:space="preserve">V_c intersect Z_c = empty</w:t>
      </w:r>
      <w:r>
        <w:br/>
      </w:r>
      <w:r>
        <w:rPr>
          <w:rStyle w:val="VerbatimChar"/>
        </w:rPr>
        <w:t xml:space="preserve">center_c in Z_c</w:t>
      </w:r>
      <w:r>
        <w:br/>
      </w:r>
      <w:r>
        <w:rPr>
          <w:rStyle w:val="VerbatimChar"/>
        </w:rPr>
        <w:t xml:space="preserve">source(E_c) subset V_c</w:t>
      </w:r>
      <w:r>
        <w:br/>
      </w:r>
      <w:r>
        <w:rPr>
          <w:rStyle w:val="VerbatimChar"/>
        </w:rPr>
        <w:t xml:space="preserve">target(E_c) subset V_c</w:t>
      </w:r>
    </w:p>
    <w:p>
      <w:pPr>
        <w:pStyle w:val="FirstParagraph"/>
      </w:pPr>
      <w:r>
        <w:t xml:space="preserve">No executable edge can target the center. A working centroid is required to carry</w:t>
      </w:r>
      <w:r>
        <w:t xml:space="preserve"> </w:t>
      </w:r>
      <w:r>
        <w:rPr>
          <w:rStyle w:val="VerbatimChar"/>
        </w:rPr>
        <w:t xml:space="preserve">is_center = false</w:t>
      </w:r>
      <w:r>
        <w:t xml:space="preserve">.</w:t>
      </w:r>
    </w:p>
    <w:bookmarkEnd w:id="240"/>
    <w:bookmarkStart w:id="241" w:name="a.5-facet-completeness"/>
    <w:p>
      <w:pPr>
        <w:pStyle w:val="Heading2"/>
      </w:pPr>
      <w:r>
        <w:t xml:space="preserve">A.5 Facet completeness</w:t>
      </w:r>
    </w:p>
    <w:p>
      <w:pPr>
        <w:pStyle w:val="FirstParagraph"/>
      </w:pPr>
      <w:r>
        <w:t xml:space="preserve">For any material splat:</w:t>
      </w:r>
    </w:p>
    <w:p>
      <w:pPr>
        <w:pStyle w:val="SourceCode"/>
      </w:pPr>
      <w:r>
        <w:rPr>
          <w:rStyle w:val="VerbatimChar"/>
        </w:rPr>
        <w:t xml:space="preserve">facets(S) = {KAT, APO, PAR, PLE, ENA, TEL}</w:t>
      </w:r>
    </w:p>
    <w:p>
      <w:pPr>
        <w:pStyle w:val="FirstParagraph"/>
      </w:pPr>
      <w:r>
        <w:t xml:space="preserve">A facet may contain a deferred claim. Absence may not be represented by omission.</w:t>
      </w:r>
    </w:p>
    <w:bookmarkEnd w:id="241"/>
    <w:bookmarkStart w:id="242" w:name="a.6-stabilization"/>
    <w:p>
      <w:pPr>
        <w:pStyle w:val="Heading2"/>
      </w:pPr>
      <w:r>
        <w:t xml:space="preserve">A.6 Stabilization</w:t>
      </w:r>
    </w:p>
    <w:p>
      <w:pPr>
        <w:pStyle w:val="FirstParagraph"/>
      </w:pPr>
      <w:r>
        <w:t xml:space="preserve">Let</w:t>
      </w:r>
      <w:r>
        <w:t xml:space="preserve"> </w:t>
      </w:r>
      <w:r>
        <w:rPr>
          <w:rStyle w:val="VerbatimChar"/>
        </w:rPr>
        <w:t xml:space="preserve">Req_h</w:t>
      </w:r>
      <w:r>
        <w:t xml:space="preserve"> </w:t>
      </w:r>
      <w:r>
        <w:t xml:space="preserve">be the responsibility- and horizon-specific required predicate set. Then:</w:t>
      </w:r>
    </w:p>
    <w:p>
      <w:pPr>
        <w:pStyle w:val="SourceCode"/>
      </w:pPr>
      <w:r>
        <w:rPr>
          <w:rStyle w:val="VerbatimChar"/>
        </w:rPr>
        <w:t xml:space="preserve">Stable(S,h) = all(q(S,h) for q in Req_h)</w:t>
      </w:r>
    </w:p>
    <w:p>
      <w:pPr>
        <w:pStyle w:val="FirstParagraph"/>
      </w:pPr>
      <w:r>
        <w:t xml:space="preserve">Required predicates include facet sufficiency, hard-clamp clearance, authority, currentness, dependency coverage, agency, correction, economic feasibility, and horizon accounting.</w:t>
      </w:r>
    </w:p>
    <w:bookmarkEnd w:id="242"/>
    <w:bookmarkStart w:id="243" w:name="a.7-declaration-and-terminalization"/>
    <w:p>
      <w:pPr>
        <w:pStyle w:val="Heading2"/>
      </w:pPr>
      <w:r>
        <w:t xml:space="preserve">A.7 Declaration and terminalization</w:t>
      </w:r>
    </w:p>
    <w:p>
      <w:pPr>
        <w:pStyle w:val="SourceCode"/>
      </w:pPr>
      <w:r>
        <w:rPr>
          <w:rStyle w:val="VerbatimChar"/>
        </w:rPr>
        <w:t xml:space="preserve">Declare(S,h) = Stable(S,h)</w:t>
      </w:r>
      <w:r>
        <w:br/>
      </w:r>
      <w:r>
        <w:rPr>
          <w:rStyle w:val="VerbatimChar"/>
        </w:rPr>
        <w:t xml:space="preserve">             and DeclarationAuthority(h)</w:t>
      </w:r>
      <w:r>
        <w:br/>
      </w:r>
      <w:r>
        <w:rPr>
          <w:rStyle w:val="VerbatimChar"/>
        </w:rPr>
        <w:t xml:space="preserve">             and ResidualUnknownsExplicit(S)</w:t>
      </w:r>
      <w:r>
        <w:br/>
      </w:r>
      <w:r>
        <w:rPr>
          <w:rStyle w:val="VerbatimChar"/>
        </w:rPr>
        <w:t xml:space="preserve">             and CorrectionPathViable(S)</w:t>
      </w:r>
      <w:r>
        <w:br/>
      </w:r>
      <w:r>
        <w:rPr>
          <w:rStyle w:val="VerbatimChar"/>
        </w:rPr>
        <w:t xml:space="preserve">             and not DelayDominates(S,h)</w:t>
      </w:r>
      <w:r>
        <w:br/>
      </w:r>
      <w:r>
        <w:br/>
      </w:r>
      <w:r>
        <w:rPr>
          <w:rStyle w:val="VerbatimChar"/>
        </w:rPr>
        <w:t xml:space="preserve">Terminalize(S,h) = Declare(S,h)</w:t>
      </w:r>
      <w:r>
        <w:br/>
      </w:r>
      <w:r>
        <w:rPr>
          <w:rStyle w:val="VerbatimChar"/>
        </w:rPr>
        <w:t xml:space="preserve">                 and CorrectionWindowSurvived(S)</w:t>
      </w:r>
      <w:r>
        <w:br/>
      </w:r>
      <w:r>
        <w:rPr>
          <w:rStyle w:val="VerbatimChar"/>
        </w:rPr>
        <w:t xml:space="preserve">                 and DependentsReconciled(S)</w:t>
      </w:r>
      <w:r>
        <w:br/>
      </w:r>
      <w:r>
        <w:rPr>
          <w:rStyle w:val="VerbatimChar"/>
        </w:rPr>
        <w:t xml:space="preserve">                 and NoActiveReopenTrigger(S)</w:t>
      </w:r>
      <w:r>
        <w:br/>
      </w:r>
      <w:r>
        <w:rPr>
          <w:rStyle w:val="VerbatimChar"/>
        </w:rPr>
        <w:t xml:space="preserve">                 and TerminalizationAuthority(h)</w:t>
      </w:r>
    </w:p>
    <w:bookmarkEnd w:id="243"/>
    <w:bookmarkStart w:id="244" w:name="a.8-precedent-standing"/>
    <w:p>
      <w:pPr>
        <w:pStyle w:val="Heading2"/>
      </w:pPr>
      <w:r>
        <w:t xml:space="preserve">A.8 Precedent standing</w:t>
      </w:r>
    </w:p>
    <w:p>
      <w:pPr>
        <w:pStyle w:val="SourceCode"/>
      </w:pPr>
      <w:r>
        <w:rPr>
          <w:rStyle w:val="VerbatimChar"/>
        </w:rPr>
        <w:t xml:space="preserve">Standing(f|x) = V_APO(f,x) * (</w:t>
      </w:r>
      <w:r>
        <w:br/>
      </w:r>
      <w:r>
        <w:rPr>
          <w:rStyle w:val="VerbatimChar"/>
        </w:rPr>
        <w:t xml:space="preserve">    w_s * shape</w:t>
      </w:r>
      <w:r>
        <w:br/>
      </w:r>
      <w:r>
        <w:rPr>
          <w:rStyle w:val="VerbatimChar"/>
        </w:rPr>
        <w:t xml:space="preserve">  + w_t * phase</w:t>
      </w:r>
      <w:r>
        <w:br/>
      </w:r>
      <w:r>
        <w:rPr>
          <w:rStyle w:val="VerbatimChar"/>
        </w:rPr>
        <w:t xml:space="preserve">  + w_h * horizon</w:t>
      </w:r>
      <w:r>
        <w:br/>
      </w:r>
      <w:r>
        <w:rPr>
          <w:rStyle w:val="VerbatimChar"/>
        </w:rPr>
        <w:t xml:space="preserve">  + w_p * PONR</w:t>
      </w:r>
      <w:r>
        <w:br/>
      </w:r>
      <w:r>
        <w:rPr>
          <w:rStyle w:val="VerbatimChar"/>
        </w:rPr>
        <w:t xml:space="preserve">  + w_o * observer_agency</w:t>
      </w:r>
      <w:r>
        <w:br/>
      </w:r>
      <w:r>
        <w:rPr>
          <w:rStyle w:val="VerbatimChar"/>
        </w:rPr>
        <w:t xml:space="preserve">  + w_r * receipt_quality</w:t>
      </w:r>
      <w:r>
        <w:br/>
      </w:r>
      <w:r>
        <w:rPr>
          <w:rStyle w:val="VerbatimChar"/>
        </w:rPr>
        <w:t xml:space="preserve">  + w_c * currentness)</w:t>
      </w:r>
    </w:p>
    <w:p>
      <w:pPr>
        <w:pStyle w:val="FirstParagraph"/>
      </w:pPr>
      <w:r>
        <w:rPr>
          <w:rStyle w:val="VerbatimChar"/>
        </w:rPr>
        <w:t xml:space="preserve">V_APO</w:t>
      </w:r>
      <w:r>
        <w:t xml:space="preserve"> </w:t>
      </w:r>
      <w:r>
        <w:t xml:space="preserve">is binary or typed veto.</w:t>
      </w:r>
      <w:r>
        <w:t xml:space="preserve"> </w:t>
      </w:r>
      <w:r>
        <w:rPr>
          <w:rStyle w:val="VerbatimChar"/>
        </w:rPr>
        <w:t xml:space="preserve">w_c</w:t>
      </w:r>
      <w:r>
        <w:t xml:space="preserve"> </w:t>
      </w:r>
      <w:r>
        <w:t xml:space="preserve">is bounded so recency/currentness cannot independently crown a shape-distant precedent.</w:t>
      </w:r>
    </w:p>
    <w:bookmarkEnd w:id="244"/>
    <w:bookmarkStart w:id="245" w:name="a.9-fable-mixture"/>
    <w:p>
      <w:pPr>
        <w:pStyle w:val="Heading2"/>
      </w:pPr>
      <w:r>
        <w:t xml:space="preserve">A.9 Fable mixture</w:t>
      </w:r>
    </w:p>
    <w:p>
      <w:pPr>
        <w:pStyle w:val="FirstParagraph"/>
      </w:pPr>
      <w:r>
        <w:t xml:space="preserve">For archetypes</w:t>
      </w:r>
      <w:r>
        <w:t xml:space="preserve"> </w:t>
      </w:r>
      <w:r>
        <w:rPr>
          <w:rStyle w:val="VerbatimChar"/>
        </w:rPr>
        <w:t xml:space="preserve">i</w:t>
      </w:r>
      <w:r>
        <w:t xml:space="preserve"> </w:t>
      </w:r>
      <w:r>
        <w:t xml:space="preserve">with diagonal Mahalanobis distance</w:t>
      </w:r>
      <w:r>
        <w:t xml:space="preserve"> </w:t>
      </w:r>
      <w:r>
        <w:rPr>
          <w:rStyle w:val="VerbatimChar"/>
        </w:rPr>
        <w:t xml:space="preserve">d_i</w:t>
      </w:r>
      <w:r>
        <w:t xml:space="preserve">:</w:t>
      </w:r>
    </w:p>
    <w:p>
      <w:pPr>
        <w:pStyle w:val="SourceCode"/>
      </w:pPr>
      <w:r>
        <w:rPr>
          <w:rStyle w:val="VerbatimChar"/>
        </w:rPr>
        <w:t xml:space="preserve">raw_i = exp(-0.5 * d_i^2 / temperature^2)</w:t>
      </w:r>
      <w:r>
        <w:br/>
      </w:r>
      <w:r>
        <w:rPr>
          <w:rStyle w:val="VerbatimChar"/>
        </w:rPr>
        <w:t xml:space="preserve">weight_i = raw_i / sum_j raw_j</w:t>
      </w:r>
    </w:p>
    <w:p>
      <w:pPr>
        <w:pStyle w:val="FirstParagraph"/>
      </w:pPr>
      <w:r>
        <w:t xml:space="preserve">APO-vetoed entries are removed from the active mixture and typed</w:t>
      </w:r>
      <w:r>
        <w:t xml:space="preserve"> </w:t>
      </w:r>
      <w:r>
        <w:rPr>
          <w:rStyle w:val="VerbatimChar"/>
        </w:rPr>
        <w:t xml:space="preserve">lane_removed_by_design</w:t>
      </w:r>
      <w:r>
        <w:t xml:space="preserve">; weak weights remain</w:t>
      </w:r>
      <w:r>
        <w:t xml:space="preserve"> </w:t>
      </w:r>
      <w:r>
        <w:rPr>
          <w:rStyle w:val="VerbatimChar"/>
        </w:rPr>
        <w:t xml:space="preserve">live_weak</w:t>
      </w:r>
      <w:r>
        <w:t xml:space="preserve">. No mixture entry is a center or verdict.</w:t>
      </w:r>
    </w:p>
    <w:bookmarkEnd w:id="245"/>
    <w:bookmarkStart w:id="246" w:name="a.10-ponr-and-dual-hazard"/>
    <w:p>
      <w:pPr>
        <w:pStyle w:val="Heading2"/>
      </w:pPr>
      <w:r>
        <w:t xml:space="preserve">A.10 PONR and dual hazard</w:t>
      </w:r>
    </w:p>
    <w:p>
      <w:pPr>
        <w:pStyle w:val="FirstParagraph"/>
      </w:pPr>
      <w:r>
        <w:t xml:space="preserve">For action and delay:</w:t>
      </w:r>
    </w:p>
    <w:p>
      <w:pPr>
        <w:pStyle w:val="SourceCode"/>
      </w:pPr>
      <w:r>
        <w:rPr>
          <w:rStyle w:val="VerbatimChar"/>
        </w:rPr>
        <w:t xml:space="preserve">Risk_act = Consequence_act * Irreversibility_act * PONR_proximity_act</w:t>
      </w:r>
      <w:r>
        <w:br/>
      </w:r>
      <w:r>
        <w:rPr>
          <w:rStyle w:val="VerbatimChar"/>
        </w:rPr>
        <w:t xml:space="preserve">Risk_delay = Consequence_delay * Irreversibility_delay * PONR_proximity_delay</w:t>
      </w:r>
    </w:p>
    <w:p>
      <w:pPr>
        <w:pStyle w:val="FirstParagraph"/>
      </w:pPr>
      <w:r>
        <w:t xml:space="preserve">The values configure the mechanical assembly; they do not alone authorize the transition.</w:t>
      </w:r>
    </w:p>
    <w:bookmarkEnd w:id="246"/>
    <w:bookmarkStart w:id="247" w:name="a.11-correction-completeness"/>
    <w:p>
      <w:pPr>
        <w:pStyle w:val="Heading2"/>
      </w:pPr>
      <w:r>
        <w:t xml:space="preserve">A.11 Correction completeness</w:t>
      </w:r>
    </w:p>
    <w:p>
      <w:pPr>
        <w:pStyle w:val="SourceCode"/>
      </w:pPr>
      <w:r>
        <w:rPr>
          <w:rStyle w:val="VerbatimChar"/>
        </w:rPr>
        <w:t xml:space="preserve">Completeness = corrected_receipted_dependents / known_affected_dependents</w:t>
      </w:r>
      <w:r>
        <w:br/>
      </w:r>
      <w:r>
        <w:rPr>
          <w:rStyle w:val="VerbatimChar"/>
        </w:rPr>
        <w:t xml:space="preserve">Residue = stale_or_unresolved_dependents / estimated_total_affected</w:t>
      </w:r>
    </w:p>
    <w:p>
      <w:pPr>
        <w:pStyle w:val="FirstParagraph"/>
      </w:pPr>
      <w:r>
        <w:t xml:space="preserve">The denominator includes known edges and a separately labeled hidden-edge estimate. A score of one over known edges is not global certainty.</w:t>
      </w:r>
    </w:p>
    <w:bookmarkEnd w:id="247"/>
    <w:bookmarkEnd w:id="248"/>
    <w:bookmarkStart w:id="259" w:name="appendix-b---design-lemmas"/>
    <w:p>
      <w:pPr>
        <w:pStyle w:val="Heading1"/>
      </w:pPr>
      <w:r>
        <w:t xml:space="preserve">Appendix B - Design lemmas</w:t>
      </w:r>
    </w:p>
    <w:bookmarkStart w:id="249" w:name="b.1-authority-non-amplification"/>
    <w:p>
      <w:pPr>
        <w:pStyle w:val="Heading2"/>
      </w:pPr>
      <w:r>
        <w:t xml:space="preserve">B.1 Authority non-amplification</w:t>
      </w:r>
    </w:p>
    <w:p>
      <w:pPr>
        <w:pStyle w:val="FirstParagraph"/>
      </w:pPr>
      <w:r>
        <w:t xml:space="preserve">If a model, projection, or local estate has authority ceiling</w:t>
      </w:r>
      <w:r>
        <w:t xml:space="preserve"> </w:t>
      </w:r>
      <w:r>
        <w:rPr>
          <w:rStyle w:val="VerbatimChar"/>
        </w:rPr>
        <w:t xml:space="preserve">a</w:t>
      </w:r>
      <w:r>
        <w:t xml:space="preserve">, any output derived solely from that object has authority ceiling no greater than</w:t>
      </w:r>
      <w:r>
        <w:t xml:space="preserve"> </w:t>
      </w:r>
      <w:r>
        <w:rPr>
          <w:rStyle w:val="VerbatimChar"/>
        </w:rPr>
        <w:t xml:space="preserve">a</w:t>
      </w:r>
      <w:r>
        <w:t xml:space="preserve"> </w:t>
      </w:r>
      <w:r>
        <w:t xml:space="preserve">unless an independent authorized grant is attached.</w:t>
      </w:r>
    </w:p>
    <w:p>
      <w:pPr>
        <w:pStyle w:val="BodyText"/>
      </w:pPr>
      <w:r>
        <w:rPr>
          <w:b/>
          <w:bCs/>
        </w:rPr>
        <w:t xml:space="preserve">Operational consequence:</w:t>
      </w:r>
      <w:r>
        <w:t xml:space="preserve"> </w:t>
      </w:r>
      <w:r>
        <w:t xml:space="preserve">fluency, confidence, replication count, or semantic similarity cannot grant mutation authority.</w:t>
      </w:r>
    </w:p>
    <w:bookmarkEnd w:id="249"/>
    <w:bookmarkStart w:id="250" w:name="b.2-center-capture-prohibition"/>
    <w:p>
      <w:pPr>
        <w:pStyle w:val="Heading2"/>
      </w:pPr>
      <w:r>
        <w:t xml:space="preserve">B.2 Center-capture prohibition</w:t>
      </w:r>
    </w:p>
    <w:p>
      <w:pPr>
        <w:pStyle w:val="FirstParagraph"/>
      </w:pPr>
      <w:r>
        <w:t xml:space="preserve">Any output containing a routeable or mutable object typed as the held-open center is invalid.</w:t>
      </w:r>
    </w:p>
    <w:p>
      <w:pPr>
        <w:pStyle w:val="BodyText"/>
      </w:pPr>
      <w:r>
        <w:rPr>
          <w:b/>
          <w:bCs/>
        </w:rPr>
        <w:t xml:space="preserve">Operational consequence:</w:t>
      </w:r>
      <w:r>
        <w:t xml:space="preserve"> </w:t>
      </w:r>
      <w:r>
        <w:t xml:space="preserve">summaries and centroids may be compared, but none may be serialized as final ontological truth.</w:t>
      </w:r>
    </w:p>
    <w:bookmarkEnd w:id="250"/>
    <w:bookmarkStart w:id="251" w:name="b.3-receipt-carrying-composition"/>
    <w:p>
      <w:pPr>
        <w:pStyle w:val="Heading2"/>
      </w:pPr>
      <w:r>
        <w:t xml:space="preserve">B.3 Receipt-carrying composition</w:t>
      </w:r>
    </w:p>
    <w:p>
      <w:pPr>
        <w:pStyle w:val="FirstParagraph"/>
      </w:pPr>
      <w:r>
        <w:t xml:space="preserve">If two lawful transitions compose, the composite must retain the receipts required to reconstruct both transitions and the join between them.</w:t>
      </w:r>
    </w:p>
    <w:p>
      <w:pPr>
        <w:pStyle w:val="BodyText"/>
      </w:pPr>
      <w:r>
        <w:rPr>
          <w:b/>
          <w:bCs/>
        </w:rPr>
        <w:t xml:space="preserve">Operational consequence:</w:t>
      </w:r>
      <w:r>
        <w:t xml:space="preserve"> </w:t>
      </w:r>
      <w:r>
        <w:t xml:space="preserve">a DAG edge without a join receipt cannot participate in global stabilization.</w:t>
      </w:r>
    </w:p>
    <w:bookmarkEnd w:id="251"/>
    <w:bookmarkStart w:id="252" w:name="b.4-source-tense-preservation"/>
    <w:p>
      <w:pPr>
        <w:pStyle w:val="Heading2"/>
      </w:pPr>
      <w:r>
        <w:t xml:space="preserve">B.4 Source-tense preservation</w:t>
      </w:r>
    </w:p>
    <w:p>
      <w:pPr>
        <w:pStyle w:val="FirstParagraph"/>
      </w:pPr>
      <w:r>
        <w:t xml:space="preserve">Transport across language, code, graph, or interface may not increase source-tense standing.</w:t>
      </w:r>
    </w:p>
    <w:p>
      <w:pPr>
        <w:pStyle w:val="BodyText"/>
      </w:pPr>
      <w:r>
        <w:rPr>
          <w:b/>
          <w:bCs/>
        </w:rPr>
        <w:t xml:space="preserve">Operational consequence:</w:t>
      </w:r>
      <w:r>
        <w:t xml:space="preserve"> </w:t>
      </w:r>
      <w:r>
        <w:t xml:space="preserve">memory does not become runtime and canonical intent does not become observed behavior through restatement.</w:t>
      </w:r>
    </w:p>
    <w:bookmarkEnd w:id="252"/>
    <w:bookmarkStart w:id="253" w:name="b.5-horizon-noncollapse"/>
    <w:p>
      <w:pPr>
        <w:pStyle w:val="Heading2"/>
      </w:pPr>
      <w:r>
        <w:t xml:space="preserve">B.5 Horizon noncollapse</w:t>
      </w:r>
    </w:p>
    <w:p>
      <w:pPr>
        <w:pStyle w:val="FirstParagraph"/>
      </w:pPr>
      <w:r>
        <w:t xml:space="preserve">A declaration at horizon</w:t>
      </w:r>
      <w:r>
        <w:t xml:space="preserve"> </w:t>
      </w:r>
      <w:r>
        <w:rPr>
          <w:rStyle w:val="VerbatimChar"/>
        </w:rPr>
        <w:t xml:space="preserve">h1</w:t>
      </w:r>
      <w:r>
        <w:t xml:space="preserve"> </w:t>
      </w:r>
      <w:r>
        <w:t xml:space="preserve">cannot acquire authority at horizon</w:t>
      </w:r>
      <w:r>
        <w:t xml:space="preserve"> </w:t>
      </w:r>
      <w:r>
        <w:rPr>
          <w:rStyle w:val="VerbatimChar"/>
        </w:rPr>
        <w:t xml:space="preserve">h2</w:t>
      </w:r>
      <w:r>
        <w:t xml:space="preserve"> </w:t>
      </w:r>
      <w:r>
        <w:t xml:space="preserve">unless a typed cross-horizon edge with standing, externality accounting, and authority is admitted.</w:t>
      </w:r>
    </w:p>
    <w:p>
      <w:pPr>
        <w:pStyle w:val="BodyText"/>
      </w:pPr>
      <w:r>
        <w:rPr>
          <w:b/>
          <w:bCs/>
        </w:rPr>
        <w:t xml:space="preserve">Operational consequence:</w:t>
      </w:r>
      <w:r>
        <w:t xml:space="preserve"> </w:t>
      </w:r>
      <w:r>
        <w:t xml:space="preserve">task success cannot silently become mission, campaign, or war success.</w:t>
      </w:r>
    </w:p>
    <w:bookmarkEnd w:id="253"/>
    <w:bookmarkStart w:id="254" w:name="b.6-correction-path-trust"/>
    <w:p>
      <w:pPr>
        <w:pStyle w:val="Heading2"/>
      </w:pPr>
      <w:r>
        <w:t xml:space="preserve">B.6 Correction-path trust</w:t>
      </w:r>
    </w:p>
    <w:p>
      <w:pPr>
        <w:pStyle w:val="FirstParagraph"/>
      </w:pPr>
      <w:r>
        <w:t xml:space="preserve">Trust cannot be established from one slice because it depends on survival across correction over time.</w:t>
      </w:r>
    </w:p>
    <w:p>
      <w:pPr>
        <w:pStyle w:val="BodyText"/>
      </w:pPr>
      <w:r>
        <w:rPr>
          <w:b/>
          <w:bCs/>
        </w:rPr>
        <w:t xml:space="preserve">Operational consequence:</w:t>
      </w:r>
      <w:r>
        <w:t xml:space="preserve"> </w:t>
      </w:r>
      <w:r>
        <w:t xml:space="preserve">initial calibration and explanation quality are necessary but not sufficient.</w:t>
      </w:r>
    </w:p>
    <w:bookmarkEnd w:id="254"/>
    <w:bookmarkStart w:id="255" w:name="b.7-suspension-exit"/>
    <w:p>
      <w:pPr>
        <w:pStyle w:val="Heading2"/>
      </w:pPr>
      <w:r>
        <w:t xml:space="preserve">B.7 Suspension exit</w:t>
      </w:r>
    </w:p>
    <w:p>
      <w:pPr>
        <w:pStyle w:val="FirstParagraph"/>
      </w:pPr>
      <w:r>
        <w:t xml:space="preserve">Every suspended branch other than the held-open center must carry a lawful exit or expiration behavior.</w:t>
      </w:r>
    </w:p>
    <w:p>
      <w:pPr>
        <w:pStyle w:val="BodyText"/>
      </w:pPr>
      <w:r>
        <w:rPr>
          <w:b/>
          <w:bCs/>
        </w:rPr>
        <w:t xml:space="preserve">Operational consequence:</w:t>
      </w:r>
      <w:r>
        <w:t xml:space="preserve"> </w:t>
      </w:r>
      <w:r>
        <w:t xml:space="preserve">indefinite hold is an architecture failure, not epistemic virtue.</w:t>
      </w:r>
    </w:p>
    <w:bookmarkEnd w:id="255"/>
    <w:bookmarkStart w:id="256" w:name="b.8-shadow-non-coupling"/>
    <w:p>
      <w:pPr>
        <w:pStyle w:val="Heading2"/>
      </w:pPr>
      <w:r>
        <w:t xml:space="preserve">B.8 Shadow non-coupling</w:t>
      </w:r>
    </w:p>
    <w:p>
      <w:pPr>
        <w:pStyle w:val="FirstParagraph"/>
      </w:pPr>
      <w:r>
        <w:t xml:space="preserve">An observational shadow must not share a mutable buffer with the protected live state.</w:t>
      </w:r>
    </w:p>
    <w:p>
      <w:pPr>
        <w:pStyle w:val="BodyText"/>
      </w:pPr>
      <w:r>
        <w:rPr>
          <w:b/>
          <w:bCs/>
        </w:rPr>
        <w:t xml:space="preserve">Operational consequence:</w:t>
      </w:r>
      <w:r>
        <w:t xml:space="preserve"> </w:t>
      </w:r>
      <w:r>
        <w:t xml:space="preserve">shadow analysis cannot mutate the object it is intended to observe.</w:t>
      </w:r>
    </w:p>
    <w:bookmarkEnd w:id="256"/>
    <w:bookmarkStart w:id="257" w:name="b.9-physics-outranks-narrative"/>
    <w:p>
      <w:pPr>
        <w:pStyle w:val="Heading2"/>
      </w:pPr>
      <w:r>
        <w:t xml:space="preserve">B.9 Physics outranks narrative</w:t>
      </w:r>
    </w:p>
    <w:p>
      <w:pPr>
        <w:pStyle w:val="FirstParagraph"/>
      </w:pPr>
      <w:r>
        <w:t xml:space="preserve">Where a physical invariant and a narrative interpretation conflict, the narrative cannot override the physical lane. It may challenge the measurement, calibration, or object identity, but must do so through receipts.</w:t>
      </w:r>
    </w:p>
    <w:bookmarkEnd w:id="257"/>
    <w:bookmarkStart w:id="258" w:name="b.10-provisional-threshold-honesty"/>
    <w:p>
      <w:pPr>
        <w:pStyle w:val="Heading2"/>
      </w:pPr>
      <w:r>
        <w:t xml:space="preserve">B.10 Provisional threshold honesty</w:t>
      </w:r>
    </w:p>
    <w:p>
      <w:pPr>
        <w:pStyle w:val="FirstParagraph"/>
      </w:pPr>
      <w:r>
        <w:t xml:space="preserve">A mechanism may be implemented with a provisional threshold, but the threshold must carry its calibration status and cannot be promoted by precision alone.</w:t>
      </w:r>
    </w:p>
    <w:bookmarkEnd w:id="258"/>
    <w:bookmarkEnd w:id="259"/>
    <w:bookmarkStart w:id="266" w:name="appendix-c---reference-algorithms"/>
    <w:p>
      <w:pPr>
        <w:pStyle w:val="Heading1"/>
      </w:pPr>
      <w:r>
        <w:t xml:space="preserve">Appendix C - Reference algorithms</w:t>
      </w:r>
    </w:p>
    <w:bookmarkStart w:id="260" w:name="c.1-build-and-validate-a-splat"/>
    <w:p>
      <w:pPr>
        <w:pStyle w:val="Heading2"/>
      </w:pPr>
      <w:r>
        <w:t xml:space="preserve">C.1 Build and validate a splat</w:t>
      </w:r>
    </w:p>
    <w:p>
      <w:pPr>
        <w:pStyle w:val="SourceCode"/>
      </w:pPr>
      <w:r>
        <w:rPr>
          <w:rStyle w:val="VerbatimChar"/>
        </w:rPr>
        <w:t xml:space="preserve">function BUILD_SPLAT(context, mission, receipts, observations):</w:t>
      </w:r>
      <w:r>
        <w:br/>
      </w:r>
      <w:r>
        <w:rPr>
          <w:rStyle w:val="VerbatimChar"/>
        </w:rPr>
        <w:t xml:space="preserve">    census = identify_objects_observers_authorities_horizons(context)</w:t>
      </w:r>
      <w:r>
        <w:br/>
      </w:r>
      <w:r>
        <w:rPr>
          <w:rStyle w:val="VerbatimChar"/>
        </w:rPr>
        <w:t xml:space="preserve">    facets = {}</w:t>
      </w:r>
      <w:r>
        <w:br/>
      </w:r>
      <w:r>
        <w:rPr>
          <w:rStyle w:val="VerbatimChar"/>
        </w:rPr>
        <w:t xml:space="preserve">    for facet in [KAT, APO, PAR, PLE, ENA, TEL]:</w:t>
      </w:r>
      <w:r>
        <w:br/>
      </w:r>
      <w:r>
        <w:rPr>
          <w:rStyle w:val="VerbatimChar"/>
        </w:rPr>
        <w:t xml:space="preserve">        facets[facet] = construct_facet_claims(facet, census, receipts, observations)</w:t>
      </w:r>
      <w:r>
        <w:br/>
      </w:r>
      <w:r>
        <w:rPr>
          <w:rStyle w:val="VerbatimChar"/>
        </w:rPr>
        <w:t xml:space="preserve">        if facets[facet] is empty:</w:t>
      </w:r>
      <w:r>
        <w:br/>
      </w:r>
      <w:r>
        <w:rPr>
          <w:rStyle w:val="VerbatimChar"/>
        </w:rPr>
        <w:t xml:space="preserve">            facets[facet] = [deferred_claim(reason="not established")]</w:t>
      </w:r>
      <w:r>
        <w:br/>
      </w:r>
      <w:r>
        <w:br/>
      </w:r>
      <w:r>
        <w:rPr>
          <w:rStyle w:val="VerbatimChar"/>
        </w:rPr>
        <w:t xml:space="preserve">    lattice = bind_cross_facet_edges(facets)</w:t>
      </w:r>
      <w:r>
        <w:br/>
      </w:r>
      <w:r>
        <w:rPr>
          <w:rStyle w:val="VerbatimChar"/>
        </w:rPr>
        <w:t xml:space="preserve">    centroids = compute_working_centroids(lattice)</w:t>
      </w:r>
      <w:r>
        <w:br/>
      </w:r>
      <w:r>
        <w:rPr>
          <w:rStyle w:val="VerbatimChar"/>
        </w:rPr>
        <w:t xml:space="preserve">    assert all(c.is_center == false for c in centroids)</w:t>
      </w:r>
      <w:r>
        <w:br/>
      </w:r>
      <w:r>
        <w:br/>
      </w:r>
      <w:r>
        <w:rPr>
          <w:rStyle w:val="VerbatimChar"/>
        </w:rPr>
        <w:t xml:space="preserve">    splat = Splat(</w:t>
      </w:r>
      <w:r>
        <w:br/>
      </w:r>
      <w:r>
        <w:rPr>
          <w:rStyle w:val="VerbatimChar"/>
        </w:rPr>
        <w:t xml:space="preserve">        facets=facets,</w:t>
      </w:r>
      <w:r>
        <w:br/>
      </w:r>
      <w:r>
        <w:rPr>
          <w:rStyle w:val="VerbatimChar"/>
        </w:rPr>
        <w:t xml:space="preserve">        lattice=lattice,</w:t>
      </w:r>
      <w:r>
        <w:br/>
      </w:r>
      <w:r>
        <w:rPr>
          <w:rStyle w:val="VerbatimChar"/>
        </w:rPr>
        <w:t xml:space="preserve">        receipts=receipts,</w:t>
      </w:r>
      <w:r>
        <w:br/>
      </w:r>
      <w:r>
        <w:rPr>
          <w:rStyle w:val="VerbatimChar"/>
        </w:rPr>
        <w:t xml:space="preserve">        working_centroids=centroids,</w:t>
      </w:r>
      <w:r>
        <w:br/>
      </w:r>
      <w:r>
        <w:rPr>
          <w:rStyle w:val="VerbatimChar"/>
        </w:rPr>
        <w:t xml:space="preserve">        held_open_center=non_inhabitable_marker(),</w:t>
      </w:r>
      <w:r>
        <w:br/>
      </w:r>
      <w:r>
        <w:rPr>
          <w:rStyle w:val="VerbatimChar"/>
        </w:rPr>
        <w:t xml:space="preserve">        hypotheses=classify_dispositions(lattice),</w:t>
      </w:r>
      <w:r>
        <w:br/>
      </w:r>
      <w:r>
        <w:rPr>
          <w:rStyle w:val="VerbatimChar"/>
        </w:rPr>
        <w:t xml:space="preserve">        renarrow_triggers=derive_renarrow_triggers(lattice)</w:t>
      </w:r>
      <w:r>
        <w:br/>
      </w:r>
      <w:r>
        <w:rPr>
          <w:rStyle w:val="VerbatimChar"/>
        </w:rPr>
        <w:t xml:space="preserve">    )</w:t>
      </w:r>
      <w:r>
        <w:br/>
      </w:r>
      <w:r>
        <w:rPr>
          <w:rStyle w:val="VerbatimChar"/>
        </w:rPr>
        <w:t xml:space="preserve">    assert center_capture_scan(splat) == []</w:t>
      </w:r>
      <w:r>
        <w:br/>
      </w:r>
      <w:r>
        <w:rPr>
          <w:rStyle w:val="VerbatimChar"/>
        </w:rPr>
        <w:t xml:space="preserve">    return splat</w:t>
      </w:r>
    </w:p>
    <w:bookmarkEnd w:id="260"/>
    <w:bookmarkStart w:id="261" w:name="c.2-shape-first-precedent-retrieval"/>
    <w:p>
      <w:pPr>
        <w:pStyle w:val="Heading2"/>
      </w:pPr>
      <w:r>
        <w:t xml:space="preserve">C.2 Shape-first precedent retrieval</w:t>
      </w:r>
    </w:p>
    <w:p>
      <w:pPr>
        <w:pStyle w:val="SourceCode"/>
      </w:pPr>
      <w:r>
        <w:rPr>
          <w:rStyle w:val="VerbatimChar"/>
        </w:rPr>
        <w:t xml:space="preserve">function RETRIEVE_PRECEDENTS(current_splat, memory):</w:t>
      </w:r>
      <w:r>
        <w:br/>
      </w:r>
      <w:r>
        <w:rPr>
          <w:rStyle w:val="VerbatimChar"/>
        </w:rPr>
        <w:t xml:space="preserve">    candidates = lexical_and_graph_recall(current_splat, memory)</w:t>
      </w:r>
      <w:r>
        <w:br/>
      </w:r>
      <w:r>
        <w:rPr>
          <w:rStyle w:val="VerbatimChar"/>
        </w:rPr>
        <w:t xml:space="preserve">    survivors = []</w:t>
      </w:r>
      <w:r>
        <w:br/>
      </w:r>
      <w:r>
        <w:rPr>
          <w:rStyle w:val="VerbatimChar"/>
        </w:rPr>
        <w:t xml:space="preserve">    for f in candidates:</w:t>
      </w:r>
      <w:r>
        <w:br/>
      </w:r>
      <w:r>
        <w:rPr>
          <w:rStyle w:val="VerbatimChar"/>
        </w:rPr>
        <w:t xml:space="preserve">        if apo_conflict(f, current_splat):</w:t>
      </w:r>
      <w:r>
        <w:br/>
      </w:r>
      <w:r>
        <w:rPr>
          <w:rStyle w:val="VerbatimChar"/>
        </w:rPr>
        <w:t xml:space="preserve">            record_disposition(f, "lane_removed_by_design")</w:t>
      </w:r>
      <w:r>
        <w:br/>
      </w:r>
      <w:r>
        <w:rPr>
          <w:rStyle w:val="VerbatimChar"/>
        </w:rPr>
        <w:t xml:space="preserve">            continue</w:t>
      </w:r>
      <w:r>
        <w:br/>
      </w:r>
      <w:r>
        <w:rPr>
          <w:rStyle w:val="VerbatimChar"/>
        </w:rPr>
        <w:t xml:space="preserve">        score = weighted_conformation(</w:t>
      </w:r>
      <w:r>
        <w:br/>
      </w:r>
      <w:r>
        <w:rPr>
          <w:rStyle w:val="VerbatimChar"/>
        </w:rPr>
        <w:t xml:space="preserve">            causal_topology(f, current_splat),</w:t>
      </w:r>
      <w:r>
        <w:br/>
      </w:r>
      <w:r>
        <w:rPr>
          <w:rStyle w:val="VerbatimChar"/>
        </w:rPr>
        <w:t xml:space="preserve">            trajectory_phase(f, current_splat),</w:t>
      </w:r>
      <w:r>
        <w:br/>
      </w:r>
      <w:r>
        <w:rPr>
          <w:rStyle w:val="VerbatimChar"/>
        </w:rPr>
        <w:t xml:space="preserve">            horizon_match(f, current_splat),</w:t>
      </w:r>
      <w:r>
        <w:br/>
      </w:r>
      <w:r>
        <w:rPr>
          <w:rStyle w:val="VerbatimChar"/>
        </w:rPr>
        <w:t xml:space="preserve">            ponr_match(f, current_splat),</w:t>
      </w:r>
      <w:r>
        <w:br/>
      </w:r>
      <w:r>
        <w:rPr>
          <w:rStyle w:val="VerbatimChar"/>
        </w:rPr>
        <w:t xml:space="preserve">            observer_agency_match(f, current_splat),</w:t>
      </w:r>
      <w:r>
        <w:br/>
      </w:r>
      <w:r>
        <w:rPr>
          <w:rStyle w:val="VerbatimChar"/>
        </w:rPr>
        <w:t xml:space="preserve">            receipt_quality(f),</w:t>
      </w:r>
      <w:r>
        <w:br/>
      </w:r>
      <w:r>
        <w:rPr>
          <w:rStyle w:val="VerbatimChar"/>
        </w:rPr>
        <w:t xml:space="preserve">            bounded_currentness(f, current_splat)</w:t>
      </w:r>
      <w:r>
        <w:br/>
      </w:r>
      <w:r>
        <w:rPr>
          <w:rStyle w:val="VerbatimChar"/>
        </w:rPr>
        <w:t xml:space="preserve">        )</w:t>
      </w:r>
      <w:r>
        <w:br/>
      </w:r>
      <w:r>
        <w:rPr>
          <w:rStyle w:val="VerbatimChar"/>
        </w:rPr>
        <w:t xml:space="preserve">        survivors.append((f, score))</w:t>
      </w:r>
      <w:r>
        <w:br/>
      </w:r>
      <w:r>
        <w:rPr>
          <w:rStyle w:val="VerbatimChar"/>
        </w:rPr>
        <w:t xml:space="preserve">    return sort_by_score(survivors)</w:t>
      </w:r>
    </w:p>
    <w:bookmarkEnd w:id="261"/>
    <w:bookmarkStart w:id="262" w:name="c.3-configure-responsibility-mechanics"/>
    <w:p>
      <w:pPr>
        <w:pStyle w:val="Heading2"/>
      </w:pPr>
      <w:r>
        <w:t xml:space="preserve">C.3 Configure responsibility mechanics</w:t>
      </w:r>
    </w:p>
    <w:p>
      <w:pPr>
        <w:pStyle w:val="SourceCode"/>
      </w:pPr>
      <w:r>
        <w:rPr>
          <w:rStyle w:val="VerbatimChar"/>
        </w:rPr>
        <w:t xml:space="preserve">function CONFIGURE_MECHANICS(context, splat, horizon):</w:t>
      </w:r>
      <w:r>
        <w:br/>
      </w:r>
      <w:r>
        <w:rPr>
          <w:rStyle w:val="VerbatimChar"/>
        </w:rPr>
        <w:t xml:space="preserve">    load = responsibility_load(</w:t>
      </w:r>
      <w:r>
        <w:br/>
      </w:r>
      <w:r>
        <w:rPr>
          <w:rStyle w:val="VerbatimChar"/>
        </w:rPr>
        <w:t xml:space="preserve">        consequence=context.consequence,</w:t>
      </w:r>
      <w:r>
        <w:br/>
      </w:r>
      <w:r>
        <w:rPr>
          <w:rStyle w:val="VerbatimChar"/>
        </w:rPr>
        <w:t xml:space="preserve">        irreversibility=context.irreversibility,</w:t>
      </w:r>
      <w:r>
        <w:br/>
      </w:r>
      <w:r>
        <w:rPr>
          <w:rStyle w:val="VerbatimChar"/>
        </w:rPr>
        <w:t xml:space="preserve">        authority_ambiguity=context.authority_ambiguity,</w:t>
      </w:r>
      <w:r>
        <w:br/>
      </w:r>
      <w:r>
        <w:rPr>
          <w:rStyle w:val="VerbatimChar"/>
        </w:rPr>
        <w:t xml:space="preserve">        time_pressure=context.time_pressure,</w:t>
      </w:r>
      <w:r>
        <w:br/>
      </w:r>
      <w:r>
        <w:rPr>
          <w:rStyle w:val="VerbatimChar"/>
        </w:rPr>
        <w:t xml:space="preserve">        economic_pressure=context.resource_pressure,</w:t>
      </w:r>
      <w:r>
        <w:br/>
      </w:r>
      <w:r>
        <w:rPr>
          <w:rStyle w:val="VerbatimChar"/>
        </w:rPr>
        <w:t xml:space="preserve">        physical_constraint=context.physical_constraint,</w:t>
      </w:r>
      <w:r>
        <w:br/>
      </w:r>
      <w:r>
        <w:rPr>
          <w:rStyle w:val="VerbatimChar"/>
        </w:rPr>
        <w:t xml:space="preserve">        blast_radius=estimate_blast_radius(splat),</w:t>
      </w:r>
      <w:r>
        <w:br/>
      </w:r>
      <w:r>
        <w:rPr>
          <w:rStyle w:val="VerbatimChar"/>
        </w:rPr>
        <w:t xml:space="preserve">        correction_capacity=estimate_correction_capacity(splat),</w:t>
      </w:r>
      <w:r>
        <w:br/>
      </w:r>
      <w:r>
        <w:rPr>
          <w:rStyle w:val="VerbatimChar"/>
        </w:rPr>
        <w:t xml:space="preserve">        horizon_span=horizon.span</w:t>
      </w:r>
      <w:r>
        <w:br/>
      </w:r>
      <w:r>
        <w:rPr>
          <w:rStyle w:val="VerbatimChar"/>
        </w:rPr>
        <w:t xml:space="preserve">    )</w:t>
      </w:r>
      <w:r>
        <w:br/>
      </w:r>
      <w:r>
        <w:rPr>
          <w:rStyle w:val="VerbatimChar"/>
        </w:rPr>
        <w:t xml:space="preserve">    cables = instantiate_polar_cables(load)</w:t>
      </w:r>
      <w:r>
        <w:br/>
      </w:r>
      <w:r>
        <w:rPr>
          <w:rStyle w:val="VerbatimChar"/>
        </w:rPr>
        <w:t xml:space="preserve">    action_clamp = configure_action_clamp(load)</w:t>
      </w:r>
      <w:r>
        <w:br/>
      </w:r>
      <w:r>
        <w:rPr>
          <w:rStyle w:val="VerbatimChar"/>
        </w:rPr>
        <w:t xml:space="preserve">    delay_clamp = configure_delay_clamp(load)</w:t>
      </w:r>
      <w:r>
        <w:br/>
      </w:r>
      <w:r>
        <w:rPr>
          <w:rStyle w:val="VerbatimChar"/>
        </w:rPr>
        <w:t xml:space="preserve">    absorbers = choose_reversible_envelopes(load)</w:t>
      </w:r>
      <w:r>
        <w:br/>
      </w:r>
      <w:r>
        <w:rPr>
          <w:rStyle w:val="VerbatimChar"/>
        </w:rPr>
        <w:t xml:space="preserve">    fuses = choose_propagation_fuses(load)</w:t>
      </w:r>
      <w:r>
        <w:br/>
      </w:r>
      <w:r>
        <w:rPr>
          <w:rStyle w:val="VerbatimChar"/>
        </w:rPr>
        <w:t xml:space="preserve">    return MechanicalAssembly(load,cables,action_clamp,delay_clamp,absorbers,fuses)</w:t>
      </w:r>
    </w:p>
    <w:bookmarkEnd w:id="262"/>
    <w:bookmarkStart w:id="263" w:name="c.4-stabilize-and-declare"/>
    <w:p>
      <w:pPr>
        <w:pStyle w:val="Heading2"/>
      </w:pPr>
      <w:r>
        <w:t xml:space="preserve">C.4 Stabilize and declare</w:t>
      </w:r>
    </w:p>
    <w:p>
      <w:pPr>
        <w:pStyle w:val="SourceCode"/>
      </w:pPr>
      <w:r>
        <w:rPr>
          <w:rStyle w:val="VerbatimChar"/>
        </w:rPr>
        <w:t xml:space="preserve">function VALIDATE(frame):</w:t>
      </w:r>
      <w:r>
        <w:br/>
      </w:r>
      <w:r>
        <w:rPr>
          <w:rStyle w:val="VerbatimChar"/>
        </w:rPr>
        <w:t xml:space="preserve">    gates = [</w:t>
      </w:r>
      <w:r>
        <w:br/>
      </w:r>
      <w:r>
        <w:rPr>
          <w:rStyle w:val="VerbatimChar"/>
        </w:rPr>
        <w:t xml:space="preserve">      six_facet_gate(frame),</w:t>
      </w:r>
      <w:r>
        <w:br/>
      </w:r>
      <w:r>
        <w:rPr>
          <w:rStyle w:val="VerbatimChar"/>
        </w:rPr>
        <w:t xml:space="preserve">      apo_gate(frame),</w:t>
      </w:r>
      <w:r>
        <w:br/>
      </w:r>
      <w:r>
        <w:rPr>
          <w:rStyle w:val="VerbatimChar"/>
        </w:rPr>
        <w:t xml:space="preserve">      authority_gate(frame),</w:t>
      </w:r>
      <w:r>
        <w:br/>
      </w:r>
      <w:r>
        <w:rPr>
          <w:rStyle w:val="VerbatimChar"/>
        </w:rPr>
        <w:t xml:space="preserve">      meaningful_agency_gate(frame),</w:t>
      </w:r>
      <w:r>
        <w:br/>
      </w:r>
      <w:r>
        <w:rPr>
          <w:rStyle w:val="VerbatimChar"/>
        </w:rPr>
        <w:t xml:space="preserve">      source_time_gate(frame),</w:t>
      </w:r>
      <w:r>
        <w:br/>
      </w:r>
      <w:r>
        <w:rPr>
          <w:rStyle w:val="VerbatimChar"/>
        </w:rPr>
        <w:t xml:space="preserve">      dependency_gate(frame),</w:t>
      </w:r>
      <w:r>
        <w:br/>
      </w:r>
      <w:r>
        <w:rPr>
          <w:rStyle w:val="VerbatimChar"/>
        </w:rPr>
        <w:t xml:space="preserve">      correction_gate(frame),</w:t>
      </w:r>
      <w:r>
        <w:br/>
      </w:r>
      <w:r>
        <w:rPr>
          <w:rStyle w:val="VerbatimChar"/>
        </w:rPr>
        <w:t xml:space="preserve">      economic_gate(frame),</w:t>
      </w:r>
      <w:r>
        <w:br/>
      </w:r>
      <w:r>
        <w:rPr>
          <w:rStyle w:val="VerbatimChar"/>
        </w:rPr>
        <w:t xml:space="preserve">      mission_horizon_gate(frame)</w:t>
      </w:r>
      <w:r>
        <w:br/>
      </w:r>
      <w:r>
        <w:rPr>
          <w:rStyle w:val="VerbatimChar"/>
        </w:rPr>
        <w:t xml:space="preserve">    ]</w:t>
      </w:r>
      <w:r>
        <w:br/>
      </w:r>
      <w:r>
        <w:rPr>
          <w:rStyle w:val="VerbatimChar"/>
        </w:rPr>
        <w:t xml:space="preserve">    if any(hard_failed(gates)):</w:t>
      </w:r>
      <w:r>
        <w:br/>
      </w:r>
      <w:r>
        <w:rPr>
          <w:rStyle w:val="VerbatimChar"/>
        </w:rPr>
        <w:t xml:space="preserve">        return REFUSE_OR_HOLD(gates)</w:t>
      </w:r>
      <w:r>
        <w:br/>
      </w:r>
      <w:r>
        <w:rPr>
          <w:rStyle w:val="VerbatimChar"/>
        </w:rPr>
        <w:t xml:space="preserve">    if delay_risk(frame) &gt; action_risk(frame) and support(frame) &gt;= declare_threshold(frame):</w:t>
      </w:r>
      <w:r>
        <w:br/>
      </w:r>
      <w:r>
        <w:rPr>
          <w:rStyle w:val="VerbatimChar"/>
        </w:rPr>
        <w:t xml:space="preserve">        return DECLARE_WITH_RESIDUALS(frame,gates)</w:t>
      </w:r>
      <w:r>
        <w:br/>
      </w:r>
      <w:r>
        <w:rPr>
          <w:rStyle w:val="VerbatimChar"/>
        </w:rPr>
        <w:t xml:space="preserve">    if hold_expired(frame):</w:t>
      </w:r>
      <w:r>
        <w:br/>
      </w:r>
      <w:r>
        <w:rPr>
          <w:rStyle w:val="VerbatimChar"/>
        </w:rPr>
        <w:t xml:space="preserve">        return REVIEW(frame,gates)</w:t>
      </w:r>
      <w:r>
        <w:br/>
      </w:r>
      <w:r>
        <w:rPr>
          <w:rStyle w:val="VerbatimChar"/>
        </w:rPr>
        <w:t xml:space="preserve">    return HOLD(frame,gates)</w:t>
      </w:r>
    </w:p>
    <w:bookmarkEnd w:id="263"/>
    <w:bookmarkStart w:id="264" w:name="c.5-correction-fan-out"/>
    <w:p>
      <w:pPr>
        <w:pStyle w:val="Heading2"/>
      </w:pPr>
      <w:r>
        <w:t xml:space="preserve">C.5 Correction fan-out</w:t>
      </w:r>
    </w:p>
    <w:p>
      <w:pPr>
        <w:pStyle w:val="SourceCode"/>
      </w:pPr>
      <w:r>
        <w:rPr>
          <w:rStyle w:val="VerbatimChar"/>
        </w:rPr>
        <w:t xml:space="preserve">function CORRECT(source_claim, correction):</w:t>
      </w:r>
      <w:r>
        <w:br/>
      </w:r>
      <w:r>
        <w:rPr>
          <w:rStyle w:val="VerbatimChar"/>
        </w:rPr>
        <w:t xml:space="preserve">    quarantine_or_demote(source_claim)</w:t>
      </w:r>
      <w:r>
        <w:br/>
      </w:r>
      <w:r>
        <w:rPr>
          <w:rStyle w:val="VerbatimChar"/>
        </w:rPr>
        <w:t xml:space="preserve">    affected = known_dependents(source_claim)</w:t>
      </w:r>
      <w:r>
        <w:br/>
      </w:r>
      <w:r>
        <w:rPr>
          <w:rStyle w:val="VerbatimChar"/>
        </w:rPr>
        <w:t xml:space="preserve">    suspected = infer_hidden_dependents(source_claim, correction_residue())</w:t>
      </w:r>
      <w:r>
        <w:br/>
      </w:r>
      <w:r>
        <w:rPr>
          <w:rStyle w:val="VerbatimChar"/>
        </w:rPr>
        <w:t xml:space="preserve">    for node in affected:</w:t>
      </w:r>
      <w:r>
        <w:br/>
      </w:r>
      <w:r>
        <w:rPr>
          <w:rStyle w:val="VerbatimChar"/>
        </w:rPr>
        <w:t xml:space="preserve">        mark_stale(node)</w:t>
      </w:r>
      <w:r>
        <w:br/>
      </w:r>
      <w:r>
        <w:rPr>
          <w:rStyle w:val="VerbatimChar"/>
        </w:rPr>
        <w:t xml:space="preserve">        enqueue_revalidation(node, correction)</w:t>
      </w:r>
      <w:r>
        <w:br/>
      </w:r>
      <w:r>
        <w:rPr>
          <w:rStyle w:val="VerbatimChar"/>
        </w:rPr>
        <w:t xml:space="preserve">    for edge in suspected:</w:t>
      </w:r>
      <w:r>
        <w:br/>
      </w:r>
      <w:r>
        <w:rPr>
          <w:rStyle w:val="VerbatimChar"/>
        </w:rPr>
        <w:t xml:space="preserve">        open_evidence_obligation(edge)</w:t>
      </w:r>
      <w:r>
        <w:br/>
      </w:r>
      <w:r>
        <w:rPr>
          <w:rStyle w:val="VerbatimChar"/>
        </w:rPr>
        <w:t xml:space="preserve">    notify_human_retrievers(source_claim)</w:t>
      </w:r>
      <w:r>
        <w:br/>
      </w:r>
      <w:r>
        <w:rPr>
          <w:rStyle w:val="VerbatimChar"/>
        </w:rPr>
        <w:t xml:space="preserve">    scan_for_residue()</w:t>
      </w:r>
      <w:r>
        <w:br/>
      </w:r>
      <w:r>
        <w:rPr>
          <w:rStyle w:val="VerbatimChar"/>
        </w:rPr>
        <w:t xml:space="preserve">    emit_correction_receipt(source_claim, affected, suspected)</w:t>
      </w:r>
    </w:p>
    <w:bookmarkEnd w:id="264"/>
    <w:bookmarkStart w:id="265" w:name="c.6-natural-language-projection"/>
    <w:p>
      <w:pPr>
        <w:pStyle w:val="Heading2"/>
      </w:pPr>
      <w:r>
        <w:t xml:space="preserve">C.6 Natural-language projection</w:t>
      </w:r>
    </w:p>
    <w:p>
      <w:pPr>
        <w:pStyle w:val="SourceCode"/>
      </w:pPr>
      <w:r>
        <w:rPr>
          <w:rStyle w:val="VerbatimChar"/>
        </w:rPr>
        <w:t xml:space="preserve">function PROJECT_TO_LANGUAGE(splat, validation, fable_pressure):</w:t>
      </w:r>
      <w:r>
        <w:br/>
      </w:r>
      <w:r>
        <w:rPr>
          <w:rStyle w:val="VerbatimChar"/>
        </w:rPr>
        <w:t xml:space="preserve">    text = render_facets_and_branch_states(splat)</w:t>
      </w:r>
      <w:r>
        <w:br/>
      </w:r>
      <w:r>
        <w:rPr>
          <w:rStyle w:val="VerbatimChar"/>
        </w:rPr>
        <w:t xml:space="preserve">    text += render_decision_and_residuals(validation)</w:t>
      </w:r>
      <w:r>
        <w:br/>
      </w:r>
      <w:r>
        <w:rPr>
          <w:rStyle w:val="VerbatimChar"/>
        </w:rPr>
        <w:t xml:space="preserve">    text += render_non_citable_fable_pressure(fable_pressure)</w:t>
      </w:r>
      <w:r>
        <w:br/>
      </w:r>
      <w:r>
        <w:rPr>
          <w:rStyle w:val="VerbatimChar"/>
        </w:rPr>
        <w:t xml:space="preserve">    text += center_exclusion_statement()</w:t>
      </w:r>
      <w:r>
        <w:br/>
      </w:r>
      <w:r>
        <w:rPr>
          <w:rStyle w:val="VerbatimChar"/>
        </w:rPr>
        <w:t xml:space="preserve">    return LanguageProjection(</w:t>
      </w:r>
      <w:r>
        <w:br/>
      </w:r>
      <w:r>
        <w:rPr>
          <w:rStyle w:val="VerbatimChar"/>
        </w:rPr>
        <w:t xml:space="preserve">        text=text,</w:t>
      </w:r>
      <w:r>
        <w:br/>
      </w:r>
      <w:r>
        <w:rPr>
          <w:rStyle w:val="VerbatimChar"/>
        </w:rPr>
        <w:t xml:space="preserve">        lattice_digest=hash(splat, validation),</w:t>
      </w:r>
      <w:r>
        <w:br/>
      </w:r>
      <w:r>
        <w:rPr>
          <w:rStyle w:val="VerbatimChar"/>
        </w:rPr>
        <w:t xml:space="preserve">        authority_ceiling="proposal",</w:t>
      </w:r>
      <w:r>
        <w:br/>
      </w:r>
      <w:r>
        <w:rPr>
          <w:rStyle w:val="VerbatimChar"/>
        </w:rPr>
        <w:t xml:space="preserve">        center_excluded=true,</w:t>
      </w:r>
      <w:r>
        <w:br/>
      </w:r>
      <w:r>
        <w:rPr>
          <w:rStyle w:val="VerbatimChar"/>
        </w:rPr>
        <w:t xml:space="preserve">        correction_path=validation.correction_path</w:t>
      </w:r>
      <w:r>
        <w:br/>
      </w:r>
      <w:r>
        <w:rPr>
          <w:rStyle w:val="VerbatimChar"/>
        </w:rPr>
        <w:t xml:space="preserve">    )</w:t>
      </w:r>
    </w:p>
    <w:bookmarkEnd w:id="265"/>
    <w:bookmarkEnd w:id="266"/>
    <w:bookmarkStart w:id="275" w:name="appendix-d---core-data-objects"/>
    <w:p>
      <w:pPr>
        <w:pStyle w:val="Heading1"/>
      </w:pPr>
      <w:r>
        <w:t xml:space="preserve">Appendix D - Core data objects</w:t>
      </w:r>
    </w:p>
    <w:bookmarkStart w:id="267" w:name="d.1-evidencereceipt"/>
    <w:p>
      <w:pPr>
        <w:pStyle w:val="Heading2"/>
      </w:pPr>
      <w:r>
        <w:t xml:space="preserve">D.1 EvidenceReceipt</w:t>
      </w:r>
    </w:p>
    <w:p>
      <w:pPr>
        <w:pStyle w:val="SourceCode"/>
      </w:pPr>
      <w:r>
        <w:rPr>
          <w:rStyle w:val="FunctionTok"/>
        </w:rPr>
        <w:t xml:space="preserve">receipt_id</w:t>
      </w:r>
      <w:r>
        <w:rPr>
          <w:rStyle w:val="KeywordTok"/>
        </w:rPr>
        <w:t xml:space="preserve">:</w:t>
      </w:r>
      <w:r>
        <w:rPr>
          <w:rStyle w:val="AttributeTok"/>
        </w:rPr>
        <w:t xml:space="preserve"> content-derived identifier</w:t>
      </w:r>
      <w:r>
        <w:br/>
      </w:r>
      <w:r>
        <w:rPr>
          <w:rStyle w:val="FunctionTok"/>
        </w:rPr>
        <w:t xml:space="preserve">source_id</w:t>
      </w:r>
      <w:r>
        <w:rPr>
          <w:rStyle w:val="KeywordTok"/>
        </w:rPr>
        <w:t xml:space="preserve">:</w:t>
      </w:r>
      <w:r>
        <w:rPr>
          <w:rStyle w:val="AttributeTok"/>
        </w:rPr>
        <w:t xml:space="preserve"> source or runtime identity</w:t>
      </w:r>
      <w:r>
        <w:br/>
      </w:r>
      <w:r>
        <w:rPr>
          <w:rStyle w:val="FunctionTok"/>
        </w:rPr>
        <w:t xml:space="preserve">source_tense</w:t>
      </w:r>
      <w:r>
        <w:rPr>
          <w:rStyle w:val="KeywordTok"/>
        </w:rPr>
        <w:t xml:space="preserve">:</w:t>
      </w:r>
      <w:r>
        <w:rPr>
          <w:rStyle w:val="AttributeTok"/>
        </w:rPr>
        <w:t xml:space="preserve"> runtime | canonical_intent | observed | reported | staged | synthetic | inferred | memory</w:t>
      </w:r>
      <w:r>
        <w:br/>
      </w:r>
      <w:r>
        <w:rPr>
          <w:rStyle w:val="FunctionTok"/>
        </w:rPr>
        <w:t xml:space="preserve">lane</w:t>
      </w:r>
      <w:r>
        <w:rPr>
          <w:rStyle w:val="KeywordTok"/>
        </w:rPr>
        <w:t xml:space="preserve">:</w:t>
      </w:r>
      <w:r>
        <w:rPr>
          <w:rStyle w:val="AttributeTok"/>
        </w:rPr>
        <w:t xml:space="preserve"> physical | environmental | procedural | jurisdictional | economic | human | authority | source | runtime | temporal | sensory</w:t>
      </w:r>
      <w:r>
        <w:br/>
      </w:r>
      <w:r>
        <w:rPr>
          <w:rStyle w:val="FunctionTok"/>
        </w:rPr>
        <w:t xml:space="preserve">claim_scope</w:t>
      </w:r>
      <w:r>
        <w:rPr>
          <w:rStyle w:val="KeywordTok"/>
        </w:rPr>
        <w:t xml:space="preserve">:</w:t>
      </w:r>
      <w:r>
        <w:rPr>
          <w:rStyle w:val="AttributeTok"/>
        </w:rPr>
        <w:t xml:space="preserve"> list of claims supported</w:t>
      </w:r>
      <w:r>
        <w:br/>
      </w:r>
      <w:r>
        <w:rPr>
          <w:rStyle w:val="FunctionTok"/>
        </w:rPr>
        <w:t xml:space="preserve">observed_at</w:t>
      </w:r>
      <w:r>
        <w:rPr>
          <w:rStyle w:val="KeywordTok"/>
        </w:rPr>
        <w:t xml:space="preserve">:</w:t>
      </w:r>
      <w:r>
        <w:rPr>
          <w:rStyle w:val="AttributeTok"/>
        </w:rPr>
        <w:t xml:space="preserve"> world observation time</w:t>
      </w:r>
      <w:r>
        <w:br/>
      </w:r>
      <w:r>
        <w:rPr>
          <w:rStyle w:val="FunctionTok"/>
        </w:rPr>
        <w:t xml:space="preserve">received_at</w:t>
      </w:r>
      <w:r>
        <w:rPr>
          <w:rStyle w:val="KeywordTok"/>
        </w:rPr>
        <w:t xml:space="preserve">:</w:t>
      </w:r>
      <w:r>
        <w:rPr>
          <w:rStyle w:val="AttributeTok"/>
        </w:rPr>
        <w:t xml:space="preserve"> system receipt time</w:t>
      </w:r>
      <w:r>
        <w:br/>
      </w:r>
      <w:r>
        <w:rPr>
          <w:rStyle w:val="FunctionTok"/>
        </w:rPr>
        <w:t xml:space="preserve">authority</w:t>
      </w:r>
      <w:r>
        <w:rPr>
          <w:rStyle w:val="KeywordTok"/>
        </w:rPr>
        <w:t xml:space="preserve">:</w:t>
      </w:r>
      <w:r>
        <w:rPr>
          <w:rStyle w:val="AttributeTok"/>
        </w:rPr>
        <w:t xml:space="preserve"> issuing or observing authority</w:t>
      </w:r>
      <w:r>
        <w:br/>
      </w:r>
      <w:r>
        <w:rPr>
          <w:rStyle w:val="FunctionTok"/>
        </w:rPr>
        <w:t xml:space="preserve">currentness</w:t>
      </w:r>
      <w:r>
        <w:rPr>
          <w:rStyle w:val="KeywordTok"/>
        </w:rPr>
        <w:t xml:space="preserve">:</w:t>
      </w:r>
      <w:r>
        <w:rPr>
          <w:rStyle w:val="AttributeTok"/>
        </w:rPr>
        <w:t xml:space="preserve"> 0..1 working measure</w:t>
      </w:r>
      <w:r>
        <w:br/>
      </w:r>
      <w:r>
        <w:rPr>
          <w:rStyle w:val="FunctionTok"/>
        </w:rPr>
        <w:t xml:space="preserve">reliability</w:t>
      </w:r>
      <w:r>
        <w:rPr>
          <w:rStyle w:val="KeywordTok"/>
        </w:rPr>
        <w:t xml:space="preserve">:</w:t>
      </w:r>
      <w:r>
        <w:rPr>
          <w:rStyle w:val="AttributeTok"/>
        </w:rPr>
        <w:t xml:space="preserve"> 0..1 working measure</w:t>
      </w:r>
      <w:r>
        <w:br/>
      </w:r>
      <w:r>
        <w:rPr>
          <w:rStyle w:val="FunctionTok"/>
        </w:rPr>
        <w:t xml:space="preserve">location</w:t>
      </w:r>
      <w:r>
        <w:rPr>
          <w:rStyle w:val="KeywordTok"/>
        </w:rPr>
        <w:t xml:space="preserve">:</w:t>
      </w:r>
      <w:r>
        <w:rPr>
          <w:rStyle w:val="AttributeTok"/>
        </w:rPr>
        <w:t xml:space="preserve"> optional jurisdiction or physical place</w:t>
      </w:r>
      <w:r>
        <w:br/>
      </w:r>
      <w:r>
        <w:rPr>
          <w:rStyle w:val="FunctionTok"/>
        </w:rPr>
        <w:t xml:space="preserve">lifecycle_state</w:t>
      </w:r>
      <w:r>
        <w:rPr>
          <w:rStyle w:val="KeywordTok"/>
        </w:rPr>
        <w:t xml:space="preserve">:</w:t>
      </w:r>
      <w:r>
        <w:rPr>
          <w:rStyle w:val="AttributeTok"/>
        </w:rPr>
        <w:t xml:space="preserve"> active | superseded | expired | revoked</w:t>
      </w:r>
      <w:r>
        <w:br/>
      </w:r>
      <w:r>
        <w:rPr>
          <w:rStyle w:val="FunctionTok"/>
        </w:rPr>
        <w:t xml:space="preserve">content_digest</w:t>
      </w:r>
      <w:r>
        <w:rPr>
          <w:rStyle w:val="KeywordTok"/>
        </w:rPr>
        <w:t xml:space="preserve">:</w:t>
      </w:r>
      <w:r>
        <w:rPr>
          <w:rStyle w:val="AttributeTok"/>
        </w:rPr>
        <w:t xml:space="preserve"> cryptographic digest</w:t>
      </w:r>
      <w:r>
        <w:br/>
      </w:r>
      <w:r>
        <w:rPr>
          <w:rStyle w:val="FunctionTok"/>
        </w:rPr>
        <w:t xml:space="preserve">notes</w:t>
      </w:r>
      <w:r>
        <w:rPr>
          <w:rStyle w:val="KeywordTok"/>
        </w:rPr>
        <w:t xml:space="preserve">:</w:t>
      </w:r>
      <w:r>
        <w:rPr>
          <w:rStyle w:val="AttributeTok"/>
        </w:rPr>
        <w:t xml:space="preserve"> bounded qualifications</w:t>
      </w:r>
    </w:p>
    <w:bookmarkEnd w:id="267"/>
    <w:bookmarkStart w:id="268" w:name="d.2-facetclaim"/>
    <w:p>
      <w:pPr>
        <w:pStyle w:val="Heading2"/>
      </w:pPr>
      <w:r>
        <w:t xml:space="preserve">D.2 FacetClaim</w:t>
      </w:r>
    </w:p>
    <w:p>
      <w:pPr>
        <w:pStyle w:val="SourceCode"/>
      </w:pPr>
      <w:r>
        <w:rPr>
          <w:rStyle w:val="FunctionTok"/>
        </w:rPr>
        <w:t xml:space="preserve">claim_id</w:t>
      </w:r>
      <w:r>
        <w:rPr>
          <w:rStyle w:val="KeywordTok"/>
        </w:rPr>
        <w:t xml:space="preserve">:</w:t>
      </w:r>
      <w:r>
        <w:rPr>
          <w:rStyle w:val="AttributeTok"/>
        </w:rPr>
        <w:t xml:space="preserve"> content-derived identifier</w:t>
      </w:r>
      <w:r>
        <w:br/>
      </w:r>
      <w:r>
        <w:rPr>
          <w:rStyle w:val="FunctionTok"/>
        </w:rPr>
        <w:t xml:space="preserve">facet</w:t>
      </w:r>
      <w:r>
        <w:rPr>
          <w:rStyle w:val="KeywordTok"/>
        </w:rPr>
        <w:t xml:space="preserve">:</w:t>
      </w:r>
      <w:r>
        <w:rPr>
          <w:rStyle w:val="AttributeTok"/>
        </w:rPr>
        <w:t xml:space="preserve"> KAT | APO | PAR | PLE | ENA | TEL</w:t>
      </w:r>
      <w:r>
        <w:br/>
      </w:r>
      <w:r>
        <w:rPr>
          <w:rStyle w:val="FunctionTok"/>
        </w:rPr>
        <w:t xml:space="preserve">statement</w:t>
      </w:r>
      <w:r>
        <w:rPr>
          <w:rStyle w:val="KeywordTok"/>
        </w:rPr>
        <w:t xml:space="preserve">:</w:t>
      </w:r>
      <w:r>
        <w:rPr>
          <w:rStyle w:val="AttributeTok"/>
        </w:rPr>
        <w:t xml:space="preserve"> bounded natural-language projection</w:t>
      </w:r>
      <w:r>
        <w:br/>
      </w:r>
      <w:r>
        <w:rPr>
          <w:rStyle w:val="FunctionTok"/>
        </w:rPr>
        <w:t xml:space="preserve">source_tense</w:t>
      </w:r>
      <w:r>
        <w:rPr>
          <w:rStyle w:val="KeywordTok"/>
        </w:rPr>
        <w:t xml:space="preserve">:</w:t>
      </w:r>
      <w:r>
        <w:rPr>
          <w:rStyle w:val="AttributeTok"/>
        </w:rPr>
        <w:t xml:space="preserve"> typed source tense</w:t>
      </w:r>
      <w:r>
        <w:br/>
      </w:r>
      <w:r>
        <w:rPr>
          <w:rStyle w:val="FunctionTok"/>
        </w:rPr>
        <w:t xml:space="preserve">lanes</w:t>
      </w:r>
      <w:r>
        <w:rPr>
          <w:rStyle w:val="KeywordTok"/>
        </w:rPr>
        <w:t xml:space="preserve">:</w:t>
      </w:r>
      <w:r>
        <w:rPr>
          <w:rStyle w:val="AttributeTok"/>
        </w:rPr>
        <w:t xml:space="preserve"> evidence lanes</w:t>
      </w:r>
      <w:r>
        <w:br/>
      </w:r>
      <w:r>
        <w:rPr>
          <w:rStyle w:val="FunctionTok"/>
        </w:rPr>
        <w:t xml:space="preserve">receipt_ids</w:t>
      </w:r>
      <w:r>
        <w:rPr>
          <w:rStyle w:val="KeywordTok"/>
        </w:rPr>
        <w:t xml:space="preserve">:</w:t>
      </w:r>
      <w:r>
        <w:rPr>
          <w:rStyle w:val="AttributeTok"/>
        </w:rPr>
        <w:t xml:space="preserve"> supporting receipts</w:t>
      </w:r>
      <w:r>
        <w:br/>
      </w:r>
      <w:r>
        <w:rPr>
          <w:rStyle w:val="FunctionTok"/>
        </w:rPr>
        <w:t xml:space="preserve">assumptions</w:t>
      </w:r>
      <w:r>
        <w:rPr>
          <w:rStyle w:val="KeywordTok"/>
        </w:rPr>
        <w:t xml:space="preserve">:</w:t>
      </w:r>
      <w:r>
        <w:rPr>
          <w:rStyle w:val="AttributeTok"/>
        </w:rPr>
        <w:t xml:space="preserve"> explicit assumptions</w:t>
      </w:r>
      <w:r>
        <w:br/>
      </w:r>
      <w:r>
        <w:rPr>
          <w:rStyle w:val="FunctionTok"/>
        </w:rPr>
        <w:t xml:space="preserve">exclusions</w:t>
      </w:r>
      <w:r>
        <w:rPr>
          <w:rStyle w:val="KeywordTok"/>
        </w:rPr>
        <w:t xml:space="preserve">:</w:t>
      </w:r>
      <w:r>
        <w:rPr>
          <w:rStyle w:val="AttributeTok"/>
        </w:rPr>
        <w:t xml:space="preserve"> explicit negative boundaries</w:t>
      </w:r>
      <w:r>
        <w:br/>
      </w:r>
      <w:r>
        <w:rPr>
          <w:rStyle w:val="FunctionTok"/>
        </w:rPr>
        <w:t xml:space="preserve">disposition</w:t>
      </w:r>
      <w:r>
        <w:rPr>
          <w:rStyle w:val="KeywordTok"/>
        </w:rPr>
        <w:t xml:space="preserve">:</w:t>
      </w:r>
      <w:r>
        <w:rPr>
          <w:rStyle w:val="AttributeTok"/>
        </w:rPr>
        <w:t xml:space="preserve"> live | live_weak | deferred | suspended | excluded | deconsidered | disproven | localized | demoted | stabilizing | stable | declared | reopened | expired</w:t>
      </w:r>
      <w:r>
        <w:br/>
      </w:r>
      <w:r>
        <w:rPr>
          <w:rStyle w:val="FunctionTok"/>
        </w:rPr>
        <w:t xml:space="preserve">confidence</w:t>
      </w:r>
      <w:r>
        <w:rPr>
          <w:rStyle w:val="KeywordTok"/>
        </w:rPr>
        <w:t xml:space="preserve">:</w:t>
      </w:r>
      <w:r>
        <w:rPr>
          <w:rStyle w:val="AttributeTok"/>
        </w:rPr>
        <w:t xml:space="preserve"> working measure</w:t>
      </w:r>
      <w:r>
        <w:br/>
      </w:r>
      <w:r>
        <w:rPr>
          <w:rStyle w:val="FunctionTok"/>
        </w:rPr>
        <w:t xml:space="preserve">authority_ceiling</w:t>
      </w:r>
      <w:r>
        <w:rPr>
          <w:rStyle w:val="KeywordTok"/>
        </w:rPr>
        <w:t xml:space="preserve">:</w:t>
      </w:r>
      <w:r>
        <w:rPr>
          <w:rStyle w:val="AttributeTok"/>
        </w:rPr>
        <w:t xml:space="preserve"> proposal by default</w:t>
      </w:r>
      <w:r>
        <w:br/>
      </w:r>
      <w:r>
        <w:rPr>
          <w:rStyle w:val="FunctionTok"/>
        </w:rPr>
        <w:t xml:space="preserve">reopen_conditions</w:t>
      </w:r>
      <w:r>
        <w:rPr>
          <w:rStyle w:val="KeywordTok"/>
        </w:rPr>
        <w:t xml:space="preserve">:</w:t>
      </w:r>
      <w:r>
        <w:rPr>
          <w:rStyle w:val="AttributeTok"/>
        </w:rPr>
        <w:t xml:space="preserve"> evidence or state that reopens</w:t>
      </w:r>
      <w:r>
        <w:br/>
      </w:r>
      <w:r>
        <w:rPr>
          <w:rStyle w:val="FunctionTok"/>
        </w:rPr>
        <w:t xml:space="preserve">terminal</w:t>
      </w:r>
      <w:r>
        <w:rPr>
          <w:rStyle w:val="KeywordTok"/>
        </w:rPr>
        <w:t xml:space="preserve">:</w:t>
      </w:r>
      <w:r>
        <w:rPr>
          <w:rStyle w:val="AttributeTok"/>
        </w:rPr>
        <w:t xml:space="preserve"> whether further recursion is barred</w:t>
      </w:r>
      <w:r>
        <w:br/>
      </w:r>
      <w:r>
        <w:rPr>
          <w:rStyle w:val="FunctionTok"/>
        </w:rPr>
        <w:t xml:space="preserve">parent_claim_id</w:t>
      </w:r>
      <w:r>
        <w:rPr>
          <w:rStyle w:val="KeywordTok"/>
        </w:rPr>
        <w:t xml:space="preserve">:</w:t>
      </w:r>
      <w:r>
        <w:rPr>
          <w:rStyle w:val="AttributeTok"/>
        </w:rPr>
        <w:t xml:space="preserve"> lineage</w:t>
      </w:r>
      <w:r>
        <w:br/>
      </w:r>
      <w:r>
        <w:rPr>
          <w:rStyle w:val="FunctionTok"/>
        </w:rPr>
        <w:t xml:space="preserve">depth</w:t>
      </w:r>
      <w:r>
        <w:rPr>
          <w:rStyle w:val="KeywordTok"/>
        </w:rPr>
        <w:t xml:space="preserve">:</w:t>
      </w:r>
      <w:r>
        <w:rPr>
          <w:rStyle w:val="AttributeTok"/>
        </w:rPr>
        <w:t xml:space="preserve"> recursive depth</w:t>
      </w:r>
    </w:p>
    <w:bookmarkEnd w:id="268"/>
    <w:bookmarkStart w:id="269" w:name="d.3-workingcentroid"/>
    <w:p>
      <w:pPr>
        <w:pStyle w:val="Heading2"/>
      </w:pPr>
      <w:r>
        <w:t xml:space="preserve">D.3 WorkingCentroid</w:t>
      </w:r>
    </w:p>
    <w:p>
      <w:pPr>
        <w:pStyle w:val="SourceCode"/>
      </w:pPr>
      <w:r>
        <w:rPr>
          <w:rStyle w:val="FunctionTok"/>
        </w:rPr>
        <w:t xml:space="preserve">centroid_id</w:t>
      </w:r>
      <w:r>
        <w:rPr>
          <w:rStyle w:val="KeywordTok"/>
        </w:rPr>
        <w:t xml:space="preserve">:</w:t>
      </w:r>
      <w:r>
        <w:rPr>
          <w:rStyle w:val="AttributeTok"/>
        </w:rPr>
        <w:t xml:space="preserve"> content-derived identifier</w:t>
      </w:r>
      <w:r>
        <w:br/>
      </w:r>
      <w:r>
        <w:rPr>
          <w:rStyle w:val="FunctionTok"/>
        </w:rPr>
        <w:t xml:space="preserve">gauge</w:t>
      </w:r>
      <w:r>
        <w:rPr>
          <w:rStyle w:val="KeywordTok"/>
        </w:rPr>
        <w:t xml:space="preserve">:</w:t>
      </w:r>
      <w:r>
        <w:rPr>
          <w:rStyle w:val="AttributeTok"/>
        </w:rPr>
        <w:t xml:space="preserve"> named comparison or navigation gauge</w:t>
      </w:r>
      <w:r>
        <w:br/>
      </w:r>
      <w:r>
        <w:rPr>
          <w:rStyle w:val="FunctionTok"/>
        </w:rPr>
        <w:t xml:space="preserve">facet</w:t>
      </w:r>
      <w:r>
        <w:rPr>
          <w:rStyle w:val="KeywordTok"/>
        </w:rPr>
        <w:t xml:space="preserve">:</w:t>
      </w:r>
      <w:r>
        <w:rPr>
          <w:rStyle w:val="AttributeTok"/>
        </w:rPr>
        <w:t xml:space="preserve"> optional facet binding</w:t>
      </w:r>
      <w:r>
        <w:br/>
      </w:r>
      <w:r>
        <w:rPr>
          <w:rStyle w:val="FunctionTok"/>
        </w:rPr>
        <w:t xml:space="preserve">coordinates</w:t>
      </w:r>
      <w:r>
        <w:rPr>
          <w:rStyle w:val="KeywordTok"/>
        </w:rPr>
        <w:t xml:space="preserve">:</w:t>
      </w:r>
      <w:r>
        <w:rPr>
          <w:rStyle w:val="AttributeTok"/>
        </w:rPr>
        <w:t xml:space="preserve"> optional working vector</w:t>
      </w:r>
      <w:r>
        <w:br/>
      </w:r>
      <w:r>
        <w:rPr>
          <w:rStyle w:val="FunctionTok"/>
        </w:rPr>
        <w:t xml:space="preserve">narrative</w:t>
      </w:r>
      <w:r>
        <w:rPr>
          <w:rStyle w:val="KeywordTok"/>
        </w:rPr>
        <w:t xml:space="preserve">:</w:t>
      </w:r>
      <w:r>
        <w:rPr>
          <w:rStyle w:val="AttributeTok"/>
        </w:rPr>
        <w:t xml:space="preserve"> human-readable coordinate description</w:t>
      </w:r>
      <w:r>
        <w:br/>
      </w:r>
      <w:r>
        <w:rPr>
          <w:rStyle w:val="FunctionTok"/>
        </w:rPr>
        <w:t xml:space="preserve">conditions</w:t>
      </w:r>
      <w:r>
        <w:rPr>
          <w:rStyle w:val="KeywordTok"/>
        </w:rPr>
        <w:t xml:space="preserve">:</w:t>
      </w:r>
      <w:r>
        <w:rPr>
          <w:rStyle w:val="AttributeTok"/>
        </w:rPr>
        <w:t xml:space="preserve"> context and validity envelope</w:t>
      </w:r>
      <w:r>
        <w:br/>
      </w:r>
      <w:r>
        <w:rPr>
          <w:rStyle w:val="FunctionTok"/>
        </w:rPr>
        <w:t xml:space="preserve">movable</w:t>
      </w:r>
      <w:r>
        <w:rPr>
          <w:rStyle w:val="KeywordTok"/>
        </w:rPr>
        <w:t xml:space="preserve">:</w:t>
      </w:r>
      <w:r>
        <w:rPr>
          <w:rStyle w:val="AttributeTok"/>
        </w:rPr>
        <w:t xml:space="preserve"> </w:t>
      </w:r>
      <w:r>
        <w:rPr>
          <w:rStyle w:val="CharTok"/>
        </w:rPr>
        <w:t xml:space="preserve">true</w:t>
      </w:r>
      <w:r>
        <w:br/>
      </w:r>
      <w:r>
        <w:rPr>
          <w:rStyle w:val="FunctionTok"/>
        </w:rPr>
        <w:t xml:space="preserve">is_center</w:t>
      </w:r>
      <w:r>
        <w:rPr>
          <w:rStyle w:val="KeywordTok"/>
        </w:rPr>
        <w:t xml:space="preserve">:</w:t>
      </w:r>
      <w:r>
        <w:rPr>
          <w:rStyle w:val="AttributeTok"/>
        </w:rPr>
        <w:t xml:space="preserve"> </w:t>
      </w:r>
      <w:r>
        <w:rPr>
          <w:rStyle w:val="CharTok"/>
        </w:rPr>
        <w:t xml:space="preserve">false</w:t>
      </w:r>
    </w:p>
    <w:bookmarkEnd w:id="269"/>
    <w:bookmarkStart w:id="270" w:name="d.4-heldopencenter"/>
    <w:p>
      <w:pPr>
        <w:pStyle w:val="Heading2"/>
      </w:pPr>
      <w:r>
        <w:t xml:space="preserve">D.4 HeldOpenCenter</w:t>
      </w:r>
    </w:p>
    <w:p>
      <w:pPr>
        <w:pStyle w:val="SourceCode"/>
      </w:pPr>
      <w:r>
        <w:rPr>
          <w:rStyle w:val="FunctionTok"/>
        </w:rPr>
        <w:t xml:space="preserve">marker</w:t>
      </w:r>
      <w:r>
        <w:rPr>
          <w:rStyle w:val="KeywordTok"/>
        </w:rPr>
        <w:t xml:space="preserve">:</w:t>
      </w:r>
      <w:r>
        <w:rPr>
          <w:rStyle w:val="AttributeTok"/>
        </w:rPr>
        <w:t xml:space="preserve"> non-inhabitable symbol</w:t>
      </w:r>
      <w:r>
        <w:br/>
      </w:r>
      <w:r>
        <w:rPr>
          <w:rStyle w:val="FunctionTok"/>
        </w:rPr>
        <w:t xml:space="preserve">mutable</w:t>
      </w:r>
      <w:r>
        <w:rPr>
          <w:rStyle w:val="KeywordTok"/>
        </w:rPr>
        <w:t xml:space="preserve">:</w:t>
      </w:r>
      <w:r>
        <w:rPr>
          <w:rStyle w:val="AttributeTok"/>
        </w:rPr>
        <w:t xml:space="preserve"> </w:t>
      </w:r>
      <w:r>
        <w:rPr>
          <w:rStyle w:val="CharTok"/>
        </w:rPr>
        <w:t xml:space="preserve">false</w:t>
      </w:r>
      <w:r>
        <w:br/>
      </w:r>
      <w:r>
        <w:rPr>
          <w:rStyle w:val="FunctionTok"/>
        </w:rPr>
        <w:t xml:space="preserve">trainable</w:t>
      </w:r>
      <w:r>
        <w:rPr>
          <w:rStyle w:val="KeywordTok"/>
        </w:rPr>
        <w:t xml:space="preserve">:</w:t>
      </w:r>
      <w:r>
        <w:rPr>
          <w:rStyle w:val="AttributeTok"/>
        </w:rPr>
        <w:t xml:space="preserve"> </w:t>
      </w:r>
      <w:r>
        <w:rPr>
          <w:rStyle w:val="CharTok"/>
        </w:rPr>
        <w:t xml:space="preserve">false</w:t>
      </w:r>
      <w:r>
        <w:br/>
      </w:r>
      <w:r>
        <w:rPr>
          <w:rStyle w:val="FunctionTok"/>
        </w:rPr>
        <w:t xml:space="preserve">routeable</w:t>
      </w:r>
      <w:r>
        <w:rPr>
          <w:rStyle w:val="KeywordTok"/>
        </w:rPr>
        <w:t xml:space="preserve">:</w:t>
      </w:r>
      <w:r>
        <w:rPr>
          <w:rStyle w:val="AttributeTok"/>
        </w:rPr>
        <w:t xml:space="preserve"> </w:t>
      </w:r>
      <w:r>
        <w:rPr>
          <w:rStyle w:val="CharTok"/>
        </w:rPr>
        <w:t xml:space="preserve">false</w:t>
      </w:r>
      <w:r>
        <w:br/>
      </w:r>
      <w:r>
        <w:rPr>
          <w:rStyle w:val="FunctionTok"/>
        </w:rPr>
        <w:t xml:space="preserve">serializable_as_mutable_state</w:t>
      </w:r>
      <w:r>
        <w:rPr>
          <w:rStyle w:val="KeywordTok"/>
        </w:rPr>
        <w:t xml:space="preserve">:</w:t>
      </w:r>
      <w:r>
        <w:rPr>
          <w:rStyle w:val="AttributeTok"/>
        </w:rPr>
        <w:t xml:space="preserve"> </w:t>
      </w:r>
      <w:r>
        <w:rPr>
          <w:rStyle w:val="CharTok"/>
        </w:rPr>
        <w:t xml:space="preserve">false</w:t>
      </w:r>
      <w:r>
        <w:br/>
      </w:r>
      <w:r>
        <w:rPr>
          <w:rStyle w:val="FunctionTok"/>
        </w:rPr>
        <w:t xml:space="preserve">model_output</w:t>
      </w:r>
      <w:r>
        <w:rPr>
          <w:rStyle w:val="KeywordTok"/>
        </w:rPr>
        <w:t xml:space="preserve">:</w:t>
      </w:r>
      <w:r>
        <w:rPr>
          <w:rStyle w:val="AttributeTok"/>
        </w:rPr>
        <w:t xml:space="preserve"> </w:t>
      </w:r>
      <w:r>
        <w:rPr>
          <w:rStyle w:val="CharTok"/>
        </w:rPr>
        <w:t xml:space="preserve">false</w:t>
      </w:r>
      <w:r>
        <w:br/>
      </w:r>
      <w:r>
        <w:rPr>
          <w:rStyle w:val="FunctionTok"/>
        </w:rPr>
        <w:t xml:space="preserve">doctrine</w:t>
      </w:r>
      <w:r>
        <w:rPr>
          <w:rStyle w:val="KeywordTok"/>
        </w:rPr>
        <w:t xml:space="preserve">:</w:t>
      </w:r>
      <w:r>
        <w:rPr>
          <w:rStyle w:val="AttributeTok"/>
        </w:rPr>
        <w:t xml:space="preserve"> prevents working interpretations from becoming crowns</w:t>
      </w:r>
    </w:p>
    <w:bookmarkEnd w:id="270"/>
    <w:bookmarkStart w:id="271" w:name="d.5-validationframe"/>
    <w:p>
      <w:pPr>
        <w:pStyle w:val="Heading2"/>
      </w:pPr>
      <w:r>
        <w:t xml:space="preserve">D.5 ValidationFrame</w:t>
      </w:r>
    </w:p>
    <w:p>
      <w:pPr>
        <w:pStyle w:val="SourceCode"/>
      </w:pPr>
      <w:r>
        <w:rPr>
          <w:rStyle w:val="FunctionTok"/>
        </w:rPr>
        <w:t xml:space="preserve">context</w:t>
      </w:r>
      <w:r>
        <w:rPr>
          <w:rStyle w:val="KeywordTok"/>
        </w:rPr>
        <w:t xml:space="preserve">:</w:t>
      </w:r>
      <w:r>
        <w:rPr>
          <w:rStyle w:val="AttributeTok"/>
        </w:rPr>
        <w:t xml:space="preserve"> mission and responsibility object</w:t>
      </w:r>
      <w:r>
        <w:br/>
      </w:r>
      <w:r>
        <w:rPr>
          <w:rStyle w:val="FunctionTok"/>
        </w:rPr>
        <w:t xml:space="preserve">splat</w:t>
      </w:r>
      <w:r>
        <w:rPr>
          <w:rStyle w:val="KeywordTok"/>
        </w:rPr>
        <w:t xml:space="preserve">:</w:t>
      </w:r>
      <w:r>
        <w:rPr>
          <w:rStyle w:val="AttributeTok"/>
        </w:rPr>
        <w:t xml:space="preserve"> current lawful slice</w:t>
      </w:r>
      <w:r>
        <w:br/>
      </w:r>
      <w:r>
        <w:rPr>
          <w:rStyle w:val="FunctionTok"/>
        </w:rPr>
        <w:t xml:space="preserve">evidence_support</w:t>
      </w:r>
      <w:r>
        <w:rPr>
          <w:rStyle w:val="KeywordTok"/>
        </w:rPr>
        <w:t xml:space="preserve">:</w:t>
      </w:r>
      <w:r>
        <w:rPr>
          <w:rStyle w:val="AttributeTok"/>
        </w:rPr>
        <w:t xml:space="preserve"> lane-specific support</w:t>
      </w:r>
      <w:r>
        <w:br/>
      </w:r>
      <w:r>
        <w:rPr>
          <w:rStyle w:val="FunctionTok"/>
        </w:rPr>
        <w:t xml:space="preserve">currentness</w:t>
      </w:r>
      <w:r>
        <w:rPr>
          <w:rStyle w:val="KeywordTok"/>
        </w:rPr>
        <w:t xml:space="preserve">:</w:t>
      </w:r>
      <w:r>
        <w:rPr>
          <w:rStyle w:val="AttributeTok"/>
        </w:rPr>
        <w:t xml:space="preserve"> source and runtime currentness</w:t>
      </w:r>
      <w:r>
        <w:br/>
      </w:r>
      <w:r>
        <w:rPr>
          <w:rStyle w:val="FunctionTok"/>
        </w:rPr>
        <w:t xml:space="preserve">hidden_dependency_risk</w:t>
      </w:r>
      <w:r>
        <w:rPr>
          <w:rStyle w:val="KeywordTok"/>
        </w:rPr>
        <w:t xml:space="preserve">:</w:t>
      </w:r>
      <w:r>
        <w:rPr>
          <w:rStyle w:val="AttributeTok"/>
        </w:rPr>
        <w:t xml:space="preserve"> estimated unknown-edge burden</w:t>
      </w:r>
      <w:r>
        <w:br/>
      </w:r>
      <w:r>
        <w:rPr>
          <w:rStyle w:val="FunctionTok"/>
        </w:rPr>
        <w:t xml:space="preserve">authority_grants</w:t>
      </w:r>
      <w:r>
        <w:rPr>
          <w:rStyle w:val="KeywordTok"/>
        </w:rPr>
        <w:t xml:space="preserve">:</w:t>
      </w:r>
      <w:r>
        <w:rPr>
          <w:rStyle w:val="AttributeTok"/>
        </w:rPr>
        <w:t xml:space="preserve"> active grants</w:t>
      </w:r>
      <w:r>
        <w:br/>
      </w:r>
      <w:r>
        <w:rPr>
          <w:rStyle w:val="FunctionTok"/>
        </w:rPr>
        <w:t xml:space="preserve">human_agency</w:t>
      </w:r>
      <w:r>
        <w:rPr>
          <w:rStyle w:val="KeywordTok"/>
        </w:rPr>
        <w:t xml:space="preserve">:</w:t>
      </w:r>
      <w:r>
        <w:rPr>
          <w:rStyle w:val="AttributeTok"/>
        </w:rPr>
        <w:t xml:space="preserve"> agency envelope</w:t>
      </w:r>
      <w:r>
        <w:br/>
      </w:r>
      <w:r>
        <w:rPr>
          <w:rStyle w:val="FunctionTok"/>
        </w:rPr>
        <w:t xml:space="preserve">correction_path</w:t>
      </w:r>
      <w:r>
        <w:rPr>
          <w:rStyle w:val="KeywordTok"/>
        </w:rPr>
        <w:t xml:space="preserve">:</w:t>
      </w:r>
      <w:r>
        <w:rPr>
          <w:rStyle w:val="AttributeTok"/>
        </w:rPr>
        <w:t xml:space="preserve"> ordered correction route</w:t>
      </w:r>
      <w:r>
        <w:br/>
      </w:r>
      <w:r>
        <w:rPr>
          <w:rStyle w:val="FunctionTok"/>
        </w:rPr>
        <w:t xml:space="preserve">action_risk</w:t>
      </w:r>
      <w:r>
        <w:rPr>
          <w:rStyle w:val="KeywordTok"/>
        </w:rPr>
        <w:t xml:space="preserve">:</w:t>
      </w:r>
      <w:r>
        <w:rPr>
          <w:rStyle w:val="AttributeTok"/>
        </w:rPr>
        <w:t xml:space="preserve"> scoped action hazard</w:t>
      </w:r>
      <w:r>
        <w:br/>
      </w:r>
      <w:r>
        <w:rPr>
          <w:rStyle w:val="FunctionTok"/>
        </w:rPr>
        <w:t xml:space="preserve">delay_risk</w:t>
      </w:r>
      <w:r>
        <w:rPr>
          <w:rStyle w:val="KeywordTok"/>
        </w:rPr>
        <w:t xml:space="preserve">:</w:t>
      </w:r>
      <w:r>
        <w:rPr>
          <w:rStyle w:val="AttributeTok"/>
        </w:rPr>
        <w:t xml:space="preserve"> scoped delay hazard</w:t>
      </w:r>
      <w:r>
        <w:br/>
      </w:r>
      <w:r>
        <w:rPr>
          <w:rStyle w:val="FunctionTok"/>
        </w:rPr>
        <w:t xml:space="preserve">hold_age</w:t>
      </w:r>
      <w:r>
        <w:rPr>
          <w:rStyle w:val="KeywordTok"/>
        </w:rPr>
        <w:t xml:space="preserve">:</w:t>
      </w:r>
      <w:r>
        <w:rPr>
          <w:rStyle w:val="AttributeTok"/>
        </w:rPr>
        <w:t xml:space="preserve"> current suspension age</w:t>
      </w:r>
      <w:r>
        <w:br/>
      </w:r>
      <w:r>
        <w:rPr>
          <w:rStyle w:val="FunctionTok"/>
        </w:rPr>
        <w:t xml:space="preserve">hold_limit</w:t>
      </w:r>
      <w:r>
        <w:rPr>
          <w:rStyle w:val="KeywordTok"/>
        </w:rPr>
        <w:t xml:space="preserve">:</w:t>
      </w:r>
      <w:r>
        <w:rPr>
          <w:rStyle w:val="AttributeTok"/>
        </w:rPr>
        <w:t xml:space="preserve"> governed maximum interval</w:t>
      </w:r>
    </w:p>
    <w:bookmarkEnd w:id="271"/>
    <w:bookmarkStart w:id="272" w:name="d.6-missiongeometry"/>
    <w:p>
      <w:pPr>
        <w:pStyle w:val="Heading2"/>
      </w:pPr>
      <w:r>
        <w:t xml:space="preserve">D.6 MissionGeometry</w:t>
      </w:r>
    </w:p>
    <w:p>
      <w:pPr>
        <w:pStyle w:val="SourceCode"/>
      </w:pPr>
      <w:r>
        <w:rPr>
          <w:rStyle w:val="FunctionTok"/>
        </w:rPr>
        <w:t xml:space="preserve">lanes</w:t>
      </w:r>
      <w:r>
        <w:rPr>
          <w:rStyle w:val="KeywordTok"/>
        </w:rPr>
        <w:t xml:space="preserve">:</w:t>
      </w:r>
      <w:r>
        <w:br/>
      </w:r>
      <w:r>
        <w:rPr>
          <w:rStyle w:val="AttributeTok"/>
        </w:rPr>
        <w:t xml:space="preserve">  </w:t>
      </w:r>
      <w:r>
        <w:rPr>
          <w:rStyle w:val="FunctionTok"/>
        </w:rPr>
        <w:t xml:space="preserve">task</w:t>
      </w:r>
      <w:r>
        <w:rPr>
          <w:rStyle w:val="KeywordTok"/>
        </w:rPr>
        <w:t xml:space="preserve">:</w:t>
      </w:r>
      <w:r>
        <w:rPr>
          <w:rStyle w:val="AttributeTok"/>
        </w:rPr>
        <w:t xml:space="preserve"> scope, authority, telemetry, disposition</w:t>
      </w:r>
      <w:r>
        <w:br/>
      </w:r>
      <w:r>
        <w:rPr>
          <w:rStyle w:val="AttributeTok"/>
        </w:rPr>
        <w:t xml:space="preserve">  </w:t>
      </w:r>
      <w:r>
        <w:rPr>
          <w:rStyle w:val="FunctionTok"/>
        </w:rPr>
        <w:t xml:space="preserve">engagement</w:t>
      </w:r>
      <w:r>
        <w:rPr>
          <w:rStyle w:val="KeywordTok"/>
        </w:rPr>
        <w:t xml:space="preserve">:</w:t>
      </w:r>
      <w:r>
        <w:rPr>
          <w:rStyle w:val="AttributeTok"/>
        </w:rPr>
        <w:t xml:space="preserve"> scope, authority, telemetry, disposition</w:t>
      </w:r>
      <w:r>
        <w:br/>
      </w:r>
      <w:r>
        <w:rPr>
          <w:rStyle w:val="AttributeTok"/>
        </w:rPr>
        <w:t xml:space="preserve">  </w:t>
      </w:r>
      <w:r>
        <w:rPr>
          <w:rStyle w:val="FunctionTok"/>
        </w:rPr>
        <w:t xml:space="preserve">mission</w:t>
      </w:r>
      <w:r>
        <w:rPr>
          <w:rStyle w:val="KeywordTok"/>
        </w:rPr>
        <w:t xml:space="preserve">:</w:t>
      </w:r>
      <w:r>
        <w:rPr>
          <w:rStyle w:val="AttributeTok"/>
        </w:rPr>
        <w:t xml:space="preserve"> scope, authority, telemetry, disposition</w:t>
      </w:r>
      <w:r>
        <w:br/>
      </w:r>
      <w:r>
        <w:rPr>
          <w:rStyle w:val="AttributeTok"/>
        </w:rPr>
        <w:t xml:space="preserve">  </w:t>
      </w:r>
      <w:r>
        <w:rPr>
          <w:rStyle w:val="FunctionTok"/>
        </w:rPr>
        <w:t xml:space="preserve">battle</w:t>
      </w:r>
      <w:r>
        <w:rPr>
          <w:rStyle w:val="KeywordTok"/>
        </w:rPr>
        <w:t xml:space="preserve">:</w:t>
      </w:r>
      <w:r>
        <w:rPr>
          <w:rStyle w:val="AttributeTok"/>
        </w:rPr>
        <w:t xml:space="preserve"> scope, authority, telemetry, disposition</w:t>
      </w:r>
      <w:r>
        <w:br/>
      </w:r>
      <w:r>
        <w:rPr>
          <w:rStyle w:val="AttributeTok"/>
        </w:rPr>
        <w:t xml:space="preserve">  </w:t>
      </w:r>
      <w:r>
        <w:rPr>
          <w:rStyle w:val="FunctionTok"/>
        </w:rPr>
        <w:t xml:space="preserve">campaign</w:t>
      </w:r>
      <w:r>
        <w:rPr>
          <w:rStyle w:val="KeywordTok"/>
        </w:rPr>
        <w:t xml:space="preserve">:</w:t>
      </w:r>
      <w:r>
        <w:rPr>
          <w:rStyle w:val="AttributeTok"/>
        </w:rPr>
        <w:t xml:space="preserve"> scope, authority, telemetry, disposition</w:t>
      </w:r>
      <w:r>
        <w:br/>
      </w:r>
      <w:r>
        <w:rPr>
          <w:rStyle w:val="AttributeTok"/>
        </w:rPr>
        <w:t xml:space="preserve">  </w:t>
      </w:r>
      <w:r>
        <w:rPr>
          <w:rStyle w:val="FunctionTok"/>
        </w:rPr>
        <w:t xml:space="preserve">war</w:t>
      </w:r>
      <w:r>
        <w:rPr>
          <w:rStyle w:val="KeywordTok"/>
        </w:rPr>
        <w:t xml:space="preserve">:</w:t>
      </w:r>
      <w:r>
        <w:rPr>
          <w:rStyle w:val="AttributeTok"/>
        </w:rPr>
        <w:t xml:space="preserve"> scope, authority, telemetry, disposition</w:t>
      </w:r>
      <w:r>
        <w:br/>
      </w:r>
      <w:r>
        <w:rPr>
          <w:rStyle w:val="AttributeTok"/>
        </w:rPr>
        <w:t xml:space="preserve">  </w:t>
      </w:r>
      <w:r>
        <w:rPr>
          <w:rStyle w:val="FunctionTok"/>
        </w:rPr>
        <w:t xml:space="preserve">strategic</w:t>
      </w:r>
      <w:r>
        <w:rPr>
          <w:rStyle w:val="KeywordTok"/>
        </w:rPr>
        <w:t xml:space="preserve">:</w:t>
      </w:r>
      <w:r>
        <w:rPr>
          <w:rStyle w:val="AttributeTok"/>
        </w:rPr>
        <w:t xml:space="preserve"> scope, authority, telemetry, disposition</w:t>
      </w:r>
      <w:r>
        <w:br/>
      </w:r>
      <w:r>
        <w:rPr>
          <w:rStyle w:val="FunctionTok"/>
        </w:rPr>
        <w:t xml:space="preserve">prohibited_inferences</w:t>
      </w:r>
      <w:r>
        <w:rPr>
          <w:rStyle w:val="KeywordTok"/>
        </w:rPr>
        <w:t xml:space="preserve">:</w:t>
      </w:r>
      <w:r>
        <w:rPr>
          <w:rStyle w:val="AttributeTok"/>
        </w:rPr>
        <w:t xml:space="preserve"> cross-horizon paths without authority</w:t>
      </w:r>
      <w:r>
        <w:br/>
      </w:r>
      <w:r>
        <w:rPr>
          <w:rStyle w:val="FunctionTok"/>
        </w:rPr>
        <w:t xml:space="preserve">source_receipts</w:t>
      </w:r>
      <w:r>
        <w:rPr>
          <w:rStyle w:val="KeywordTok"/>
        </w:rPr>
        <w:t xml:space="preserve">:</w:t>
      </w:r>
      <w:r>
        <w:rPr>
          <w:rStyle w:val="AttributeTok"/>
        </w:rPr>
        <w:t xml:space="preserve"> strategy and telemetry receipts</w:t>
      </w:r>
    </w:p>
    <w:bookmarkEnd w:id="272"/>
    <w:bookmarkStart w:id="273" w:name="d.7-sightstate"/>
    <w:p>
      <w:pPr>
        <w:pStyle w:val="Heading2"/>
      </w:pPr>
      <w:r>
        <w:t xml:space="preserve">D.7 SightState</w:t>
      </w:r>
    </w:p>
    <w:p>
      <w:pPr>
        <w:pStyle w:val="SourceCode"/>
      </w:pPr>
      <w:r>
        <w:rPr>
          <w:rStyle w:val="FunctionTok"/>
        </w:rPr>
        <w:t xml:space="preserve">geometrically_visible</w:t>
      </w:r>
      <w:r>
        <w:rPr>
          <w:rStyle w:val="KeywordTok"/>
        </w:rPr>
        <w:t xml:space="preserve">:</w:t>
      </w:r>
      <w:r>
        <w:rPr>
          <w:rStyle w:val="AttributeTok"/>
        </w:rPr>
        <w:t xml:space="preserve"> boolean</w:t>
      </w:r>
      <w:r>
        <w:br/>
      </w:r>
      <w:r>
        <w:rPr>
          <w:rStyle w:val="FunctionTok"/>
        </w:rPr>
        <w:t xml:space="preserve">physically_unoccluded</w:t>
      </w:r>
      <w:r>
        <w:rPr>
          <w:rStyle w:val="KeywordTok"/>
        </w:rPr>
        <w:t xml:space="preserve">:</w:t>
      </w:r>
      <w:r>
        <w:rPr>
          <w:rStyle w:val="AttributeTok"/>
        </w:rPr>
        <w:t xml:space="preserve"> boolean</w:t>
      </w:r>
      <w:r>
        <w:br/>
      </w:r>
      <w:r>
        <w:rPr>
          <w:rStyle w:val="FunctionTok"/>
        </w:rPr>
        <w:t xml:space="preserve">inside_sensor_envelope</w:t>
      </w:r>
      <w:r>
        <w:rPr>
          <w:rStyle w:val="KeywordTok"/>
        </w:rPr>
        <w:t xml:space="preserve">:</w:t>
      </w:r>
      <w:r>
        <w:rPr>
          <w:rStyle w:val="AttributeTok"/>
        </w:rPr>
        <w:t xml:space="preserve"> boolean</w:t>
      </w:r>
      <w:r>
        <w:br/>
      </w:r>
      <w:r>
        <w:rPr>
          <w:rStyle w:val="FunctionTok"/>
        </w:rPr>
        <w:t xml:space="preserve">inside_effective_resolution</w:t>
      </w:r>
      <w:r>
        <w:rPr>
          <w:rStyle w:val="KeywordTok"/>
        </w:rPr>
        <w:t xml:space="preserve">:</w:t>
      </w:r>
      <w:r>
        <w:rPr>
          <w:rStyle w:val="AttributeTok"/>
        </w:rPr>
        <w:t xml:space="preserve"> boolean</w:t>
      </w:r>
      <w:r>
        <w:br/>
      </w:r>
      <w:r>
        <w:rPr>
          <w:rStyle w:val="FunctionTok"/>
        </w:rPr>
        <w:t xml:space="preserve">inside_capture_window</w:t>
      </w:r>
      <w:r>
        <w:rPr>
          <w:rStyle w:val="KeywordTok"/>
        </w:rPr>
        <w:t xml:space="preserve">:</w:t>
      </w:r>
      <w:r>
        <w:rPr>
          <w:rStyle w:val="AttributeTok"/>
        </w:rPr>
        <w:t xml:space="preserve"> boolean</w:t>
      </w:r>
      <w:r>
        <w:br/>
      </w:r>
      <w:r>
        <w:rPr>
          <w:rStyle w:val="FunctionTok"/>
        </w:rPr>
        <w:t xml:space="preserve">sensor_sampled</w:t>
      </w:r>
      <w:r>
        <w:rPr>
          <w:rStyle w:val="KeywordTok"/>
        </w:rPr>
        <w:t xml:space="preserve">:</w:t>
      </w:r>
      <w:r>
        <w:rPr>
          <w:rStyle w:val="AttributeTok"/>
        </w:rPr>
        <w:t xml:space="preserve"> boolean</w:t>
      </w:r>
      <w:r>
        <w:br/>
      </w:r>
      <w:r>
        <w:rPr>
          <w:rStyle w:val="FunctionTok"/>
        </w:rPr>
        <w:t xml:space="preserve">data_transmitted</w:t>
      </w:r>
      <w:r>
        <w:rPr>
          <w:rStyle w:val="KeywordTok"/>
        </w:rPr>
        <w:t xml:space="preserve">:</w:t>
      </w:r>
      <w:r>
        <w:rPr>
          <w:rStyle w:val="AttributeTok"/>
        </w:rPr>
        <w:t xml:space="preserve"> boolean</w:t>
      </w:r>
      <w:r>
        <w:br/>
      </w:r>
      <w:r>
        <w:rPr>
          <w:rStyle w:val="FunctionTok"/>
        </w:rPr>
        <w:t xml:space="preserve">data_received</w:t>
      </w:r>
      <w:r>
        <w:rPr>
          <w:rStyle w:val="KeywordTok"/>
        </w:rPr>
        <w:t xml:space="preserve">:</w:t>
      </w:r>
      <w:r>
        <w:rPr>
          <w:rStyle w:val="AttributeTok"/>
        </w:rPr>
        <w:t xml:space="preserve"> boolean</w:t>
      </w:r>
      <w:r>
        <w:br/>
      </w:r>
      <w:r>
        <w:rPr>
          <w:rStyle w:val="FunctionTok"/>
        </w:rPr>
        <w:t xml:space="preserve">rendered_to_interface</w:t>
      </w:r>
      <w:r>
        <w:rPr>
          <w:rStyle w:val="KeywordTok"/>
        </w:rPr>
        <w:t xml:space="preserve">:</w:t>
      </w:r>
      <w:r>
        <w:rPr>
          <w:rStyle w:val="AttributeTok"/>
        </w:rPr>
        <w:t xml:space="preserve"> boolean</w:t>
      </w:r>
      <w:r>
        <w:br/>
      </w:r>
      <w:r>
        <w:rPr>
          <w:rStyle w:val="FunctionTok"/>
        </w:rPr>
        <w:t xml:space="preserve">inside_human_field_of_view</w:t>
      </w:r>
      <w:r>
        <w:rPr>
          <w:rStyle w:val="KeywordTok"/>
        </w:rPr>
        <w:t xml:space="preserve">:</w:t>
      </w:r>
      <w:r>
        <w:rPr>
          <w:rStyle w:val="AttributeTok"/>
        </w:rPr>
        <w:t xml:space="preserve"> boolean</w:t>
      </w:r>
      <w:r>
        <w:br/>
      </w:r>
      <w:r>
        <w:rPr>
          <w:rStyle w:val="FunctionTok"/>
        </w:rPr>
        <w:t xml:space="preserve">human_attention</w:t>
      </w:r>
      <w:r>
        <w:rPr>
          <w:rStyle w:val="KeywordTok"/>
        </w:rPr>
        <w:t xml:space="preserve">:</w:t>
      </w:r>
      <w:r>
        <w:rPr>
          <w:rStyle w:val="AttributeTok"/>
        </w:rPr>
        <w:t xml:space="preserve"> boolean</w:t>
      </w:r>
      <w:r>
        <w:br/>
      </w:r>
      <w:r>
        <w:rPr>
          <w:rStyle w:val="FunctionTok"/>
        </w:rPr>
        <w:t xml:space="preserve">machine_detected</w:t>
      </w:r>
      <w:r>
        <w:rPr>
          <w:rStyle w:val="KeywordTok"/>
        </w:rPr>
        <w:t xml:space="preserve">:</w:t>
      </w:r>
      <w:r>
        <w:rPr>
          <w:rStyle w:val="AttributeTok"/>
        </w:rPr>
        <w:t xml:space="preserve"> boolean</w:t>
      </w:r>
      <w:r>
        <w:br/>
      </w:r>
      <w:r>
        <w:rPr>
          <w:rStyle w:val="FunctionTok"/>
        </w:rPr>
        <w:t xml:space="preserve">machine_correlated</w:t>
      </w:r>
      <w:r>
        <w:rPr>
          <w:rStyle w:val="KeywordTok"/>
        </w:rPr>
        <w:t xml:space="preserve">:</w:t>
      </w:r>
      <w:r>
        <w:rPr>
          <w:rStyle w:val="AttributeTok"/>
        </w:rPr>
        <w:t xml:space="preserve"> boolean</w:t>
      </w:r>
      <w:r>
        <w:br/>
      </w:r>
      <w:r>
        <w:rPr>
          <w:rStyle w:val="FunctionTok"/>
        </w:rPr>
        <w:t xml:space="preserve">machine_classified</w:t>
      </w:r>
      <w:r>
        <w:rPr>
          <w:rStyle w:val="KeywordTok"/>
        </w:rPr>
        <w:t xml:space="preserve">:</w:t>
      </w:r>
      <w:r>
        <w:rPr>
          <w:rStyle w:val="AttributeTok"/>
        </w:rPr>
        <w:t xml:space="preserve"> boolean</w:t>
      </w:r>
      <w:r>
        <w:br/>
      </w:r>
      <w:r>
        <w:rPr>
          <w:rStyle w:val="FunctionTok"/>
        </w:rPr>
        <w:t xml:space="preserve">human_acknowledged</w:t>
      </w:r>
      <w:r>
        <w:rPr>
          <w:rStyle w:val="KeywordTok"/>
        </w:rPr>
        <w:t xml:space="preserve">:</w:t>
      </w:r>
      <w:r>
        <w:rPr>
          <w:rStyle w:val="AttributeTok"/>
        </w:rPr>
        <w:t xml:space="preserve"> boolean</w:t>
      </w:r>
      <w:r>
        <w:br/>
      </w:r>
      <w:r>
        <w:rPr>
          <w:rStyle w:val="FunctionTok"/>
        </w:rPr>
        <w:t xml:space="preserve">action_followed</w:t>
      </w:r>
      <w:r>
        <w:rPr>
          <w:rStyle w:val="KeywordTok"/>
        </w:rPr>
        <w:t xml:space="preserve">:</w:t>
      </w:r>
      <w:r>
        <w:rPr>
          <w:rStyle w:val="AttributeTok"/>
        </w:rPr>
        <w:t xml:space="preserve"> boolean</w:t>
      </w:r>
      <w:r>
        <w:br/>
      </w:r>
      <w:r>
        <w:rPr>
          <w:rStyle w:val="FunctionTok"/>
        </w:rPr>
        <w:t xml:space="preserve">receipts</w:t>
      </w:r>
      <w:r>
        <w:rPr>
          <w:rStyle w:val="KeywordTok"/>
        </w:rPr>
        <w:t xml:space="preserve">:</w:t>
      </w:r>
      <w:r>
        <w:rPr>
          <w:rStyle w:val="AttributeTok"/>
        </w:rPr>
        <w:t xml:space="preserve"> stage-specific receipts</w:t>
      </w:r>
    </w:p>
    <w:bookmarkEnd w:id="273"/>
    <w:bookmarkStart w:id="274" w:name="d.8-suspensionticket"/>
    <w:p>
      <w:pPr>
        <w:pStyle w:val="Heading2"/>
      </w:pPr>
      <w:r>
        <w:t xml:space="preserve">D.8 SuspensionTicket</w:t>
      </w:r>
    </w:p>
    <w:p>
      <w:pPr>
        <w:pStyle w:val="SourceCode"/>
      </w:pPr>
      <w:r>
        <w:rPr>
          <w:rStyle w:val="FunctionTok"/>
        </w:rPr>
        <w:t xml:space="preserve">ticket_id</w:t>
      </w:r>
      <w:r>
        <w:rPr>
          <w:rStyle w:val="KeywordTok"/>
        </w:rPr>
        <w:t xml:space="preserve">:</w:t>
      </w:r>
      <w:r>
        <w:rPr>
          <w:rStyle w:val="AttributeTok"/>
        </w:rPr>
        <w:t xml:space="preserve"> content-derived identifier</w:t>
      </w:r>
      <w:r>
        <w:br/>
      </w:r>
      <w:r>
        <w:rPr>
          <w:rStyle w:val="FunctionTok"/>
        </w:rPr>
        <w:t xml:space="preserve">object_id</w:t>
      </w:r>
      <w:r>
        <w:rPr>
          <w:rStyle w:val="KeywordTok"/>
        </w:rPr>
        <w:t xml:space="preserve">:</w:t>
      </w:r>
      <w:r>
        <w:rPr>
          <w:rStyle w:val="AttributeTok"/>
        </w:rPr>
        <w:t xml:space="preserve"> governed object</w:t>
      </w:r>
      <w:r>
        <w:br/>
      </w:r>
      <w:r>
        <w:rPr>
          <w:rStyle w:val="FunctionTok"/>
        </w:rPr>
        <w:t xml:space="preserve">status</w:t>
      </w:r>
      <w:r>
        <w:rPr>
          <w:rStyle w:val="KeywordTok"/>
        </w:rPr>
        <w:t xml:space="preserve">:</w:t>
      </w:r>
      <w:r>
        <w:rPr>
          <w:rStyle w:val="AttributeTok"/>
        </w:rPr>
        <w:t xml:space="preserve"> hold | review | declared | refused | reopened | expired</w:t>
      </w:r>
      <w:r>
        <w:br/>
      </w:r>
      <w:r>
        <w:rPr>
          <w:rStyle w:val="FunctionTok"/>
        </w:rPr>
        <w:t xml:space="preserve">responsibility_class</w:t>
      </w:r>
      <w:r>
        <w:rPr>
          <w:rStyle w:val="KeywordTok"/>
        </w:rPr>
        <w:t xml:space="preserve">:</w:t>
      </w:r>
      <w:r>
        <w:rPr>
          <w:rStyle w:val="AttributeTok"/>
        </w:rPr>
        <w:t xml:space="preserve"> informational | reversible | material | irreversible | constitutional</w:t>
      </w:r>
      <w:r>
        <w:br/>
      </w:r>
      <w:r>
        <w:rPr>
          <w:rStyle w:val="FunctionTok"/>
        </w:rPr>
        <w:t xml:space="preserve">horizon</w:t>
      </w:r>
      <w:r>
        <w:rPr>
          <w:rStyle w:val="KeywordTok"/>
        </w:rPr>
        <w:t xml:space="preserve">:</w:t>
      </w:r>
      <w:r>
        <w:rPr>
          <w:rStyle w:val="AttributeTok"/>
        </w:rPr>
        <w:t xml:space="preserve"> active horizon</w:t>
      </w:r>
      <w:r>
        <w:br/>
      </w:r>
      <w:r>
        <w:rPr>
          <w:rStyle w:val="FunctionTok"/>
        </w:rPr>
        <w:t xml:space="preserve">evidence_obligations</w:t>
      </w:r>
      <w:r>
        <w:rPr>
          <w:rStyle w:val="KeywordTok"/>
        </w:rPr>
        <w:t xml:space="preserve">:</w:t>
      </w:r>
      <w:r>
        <w:rPr>
          <w:rStyle w:val="AttributeTok"/>
        </w:rPr>
        <w:t xml:space="preserve"> missing complements</w:t>
      </w:r>
      <w:r>
        <w:br/>
      </w:r>
      <w:r>
        <w:rPr>
          <w:rStyle w:val="FunctionTok"/>
        </w:rPr>
        <w:t xml:space="preserve">entered_at</w:t>
      </w:r>
      <w:r>
        <w:rPr>
          <w:rStyle w:val="KeywordTok"/>
        </w:rPr>
        <w:t xml:space="preserve">:</w:t>
      </w:r>
      <w:r>
        <w:rPr>
          <w:rStyle w:val="AttributeTok"/>
        </w:rPr>
        <w:t xml:space="preserve"> time</w:t>
      </w:r>
      <w:r>
        <w:br/>
      </w:r>
      <w:r>
        <w:rPr>
          <w:rStyle w:val="FunctionTok"/>
        </w:rPr>
        <w:t xml:space="preserve">maximum_hold_cycles</w:t>
      </w:r>
      <w:r>
        <w:rPr>
          <w:rStyle w:val="KeywordTok"/>
        </w:rPr>
        <w:t xml:space="preserve">:</w:t>
      </w:r>
      <w:r>
        <w:rPr>
          <w:rStyle w:val="AttributeTok"/>
        </w:rPr>
        <w:t xml:space="preserve"> integer or duration</w:t>
      </w:r>
      <w:r>
        <w:br/>
      </w:r>
      <w:r>
        <w:rPr>
          <w:rStyle w:val="FunctionTok"/>
        </w:rPr>
        <w:t xml:space="preserve">events</w:t>
      </w:r>
      <w:r>
        <w:rPr>
          <w:rStyle w:val="KeywordTok"/>
        </w:rPr>
        <w:t xml:space="preserve">:</w:t>
      </w:r>
      <w:r>
        <w:rPr>
          <w:rStyle w:val="AttributeTok"/>
        </w:rPr>
        <w:t xml:space="preserve"> lifecycle history</w:t>
      </w:r>
      <w:r>
        <w:br/>
      </w:r>
      <w:r>
        <w:rPr>
          <w:rStyle w:val="FunctionTok"/>
        </w:rPr>
        <w:t xml:space="preserve">correction_path</w:t>
      </w:r>
      <w:r>
        <w:rPr>
          <w:rStyle w:val="KeywordTok"/>
        </w:rPr>
        <w:t xml:space="preserve">:</w:t>
      </w:r>
      <w:r>
        <w:rPr>
          <w:rStyle w:val="AttributeTok"/>
        </w:rPr>
        <w:t xml:space="preserve"> required correction route</w:t>
      </w:r>
      <w:r>
        <w:br/>
      </w:r>
      <w:r>
        <w:rPr>
          <w:rStyle w:val="FunctionTok"/>
        </w:rPr>
        <w:t xml:space="preserve">reopen_conditions</w:t>
      </w:r>
      <w:r>
        <w:rPr>
          <w:rStyle w:val="KeywordTok"/>
        </w:rPr>
        <w:t xml:space="preserve">:</w:t>
      </w:r>
      <w:r>
        <w:rPr>
          <w:rStyle w:val="AttributeTok"/>
        </w:rPr>
        <w:t xml:space="preserve"> conditions that restore branches</w:t>
      </w:r>
      <w:r>
        <w:br/>
      </w:r>
      <w:r>
        <w:rPr>
          <w:rStyle w:val="FunctionTok"/>
        </w:rPr>
        <w:t xml:space="preserve">owner</w:t>
      </w:r>
      <w:r>
        <w:rPr>
          <w:rStyle w:val="KeywordTok"/>
        </w:rPr>
        <w:t xml:space="preserve">:</w:t>
      </w:r>
      <w:r>
        <w:rPr>
          <w:rStyle w:val="AttributeTok"/>
        </w:rPr>
        <w:t xml:space="preserve"> responsible actor</w:t>
      </w:r>
    </w:p>
    <w:bookmarkEnd w:id="274"/>
    <w:bookmarkEnd w:id="275"/>
    <w:bookmarkStart w:id="296" w:name="appendix-e---capability-status-matrix"/>
    <w:p>
      <w:pPr>
        <w:pStyle w:val="Heading1"/>
      </w:pPr>
      <w:r>
        <w:t xml:space="preserve">Appendix E - Capability status matrix</w:t>
      </w:r>
    </w:p>
    <w:p>
      <w:pPr>
        <w:pStyle w:val="FirstParagraph"/>
      </w:pPr>
      <w:r>
        <w:t xml:space="preserve">The status cards keep capability, evidence, and non-claim in separate fields.</w:t>
      </w:r>
    </w:p>
    <w:bookmarkStart w:id="276" w:name="e.1-parent-lawful-traversal-topology"/>
    <w:p>
      <w:pPr>
        <w:pStyle w:val="Heading2"/>
      </w:pPr>
      <w:r>
        <w:t xml:space="preserve">E.1 Parent lawful-traversal topology</w:t>
      </w:r>
    </w:p>
    <w:p>
      <w:pPr>
        <w:pStyle w:val="Compact"/>
        <w:numPr>
          <w:ilvl w:val="0"/>
          <w:numId w:val="1027"/>
        </w:numPr>
      </w:pPr>
      <w:r>
        <w:rPr>
          <w:b/>
          <w:bCs/>
        </w:rPr>
        <w:t xml:space="preserve">Status:</w:t>
      </w:r>
      <w:r>
        <w:t xml:space="preserve"> </w:t>
      </w:r>
      <w:r>
        <w:t xml:space="preserve">Established in Ubiquity</w:t>
      </w:r>
    </w:p>
    <w:p>
      <w:pPr>
        <w:pStyle w:val="Compact"/>
        <w:numPr>
          <w:ilvl w:val="0"/>
          <w:numId w:val="1027"/>
        </w:numPr>
      </w:pPr>
      <w:r>
        <w:rPr>
          <w:b/>
          <w:bCs/>
        </w:rPr>
        <w:t xml:space="preserve">Receipt basis:</w:t>
      </w:r>
      <w:r>
        <w:t xml:space="preserve"> </w:t>
      </w:r>
      <w:r>
        <w:t xml:space="preserve">FQoQ, open-center lineage, and public Ubiquity surfaces</w:t>
      </w:r>
    </w:p>
    <w:p>
      <w:pPr>
        <w:pStyle w:val="Compact"/>
        <w:numPr>
          <w:ilvl w:val="0"/>
          <w:numId w:val="1027"/>
        </w:numPr>
      </w:pPr>
      <w:r>
        <w:rPr>
          <w:b/>
          <w:bCs/>
        </w:rPr>
        <w:t xml:space="preserve">Explicit non-claim:</w:t>
      </w:r>
      <w:r>
        <w:t xml:space="preserve"> </w:t>
      </w:r>
      <w:r>
        <w:t xml:space="preserve">No universal institutional-adoption claim</w:t>
      </w:r>
    </w:p>
    <w:bookmarkEnd w:id="276"/>
    <w:bookmarkStart w:id="277" w:name="e.2-production-splat-mechanics"/>
    <w:p>
      <w:pPr>
        <w:pStyle w:val="Heading2"/>
      </w:pPr>
      <w:r>
        <w:t xml:space="preserve">E.2 Production splat mechanics</w:t>
      </w:r>
    </w:p>
    <w:p>
      <w:pPr>
        <w:pStyle w:val="Compact"/>
        <w:numPr>
          <w:ilvl w:val="0"/>
          <w:numId w:val="1028"/>
        </w:numPr>
      </w:pPr>
      <w:r>
        <w:rPr>
          <w:b/>
          <w:bCs/>
        </w:rPr>
        <w:t xml:space="preserve">Status:</w:t>
      </w:r>
      <w:r>
        <w:t xml:space="preserve"> </w:t>
      </w:r>
      <w:r>
        <w:t xml:space="preserve">Established in Ubiquity</w:t>
      </w:r>
    </w:p>
    <w:p>
      <w:pPr>
        <w:pStyle w:val="Compact"/>
        <w:numPr>
          <w:ilvl w:val="0"/>
          <w:numId w:val="1028"/>
        </w:numPr>
      </w:pPr>
      <w:r>
        <w:rPr>
          <w:b/>
          <w:bCs/>
        </w:rPr>
        <w:t xml:space="preserve">Receipt basis:</w:t>
      </w:r>
      <w:r>
        <w:t xml:space="preserve"> </w:t>
      </w:r>
      <w:r>
        <w:t xml:space="preserve">Parent documents and estate lineage</w:t>
      </w:r>
    </w:p>
    <w:p>
      <w:pPr>
        <w:pStyle w:val="Compact"/>
        <w:numPr>
          <w:ilvl w:val="0"/>
          <w:numId w:val="1028"/>
        </w:numPr>
      </w:pPr>
      <w:r>
        <w:rPr>
          <w:b/>
          <w:bCs/>
        </w:rPr>
        <w:t xml:space="preserve">Explicit non-claim:</w:t>
      </w:r>
      <w:r>
        <w:t xml:space="preserve"> </w:t>
      </w:r>
      <w:r>
        <w:t xml:space="preserve">No claim that every local splat is correct</w:t>
      </w:r>
    </w:p>
    <w:bookmarkEnd w:id="277"/>
    <w:bookmarkStart w:id="278" w:name="e.3-held-open-center-exclusion"/>
    <w:p>
      <w:pPr>
        <w:pStyle w:val="Heading2"/>
      </w:pPr>
      <w:r>
        <w:t xml:space="preserve">E.3 Held-open center exclusion</w:t>
      </w:r>
    </w:p>
    <w:p>
      <w:pPr>
        <w:pStyle w:val="Compact"/>
        <w:numPr>
          <w:ilvl w:val="0"/>
          <w:numId w:val="1029"/>
        </w:numPr>
      </w:pPr>
      <w:r>
        <w:rPr>
          <w:b/>
          <w:bCs/>
        </w:rPr>
        <w:t xml:space="preserve">Status:</w:t>
      </w:r>
      <w:r>
        <w:t xml:space="preserve"> </w:t>
      </w:r>
      <w:r>
        <w:t xml:space="preserve">Established in Ubiquity and implemented native</w:t>
      </w:r>
    </w:p>
    <w:p>
      <w:pPr>
        <w:pStyle w:val="Compact"/>
        <w:numPr>
          <w:ilvl w:val="0"/>
          <w:numId w:val="1029"/>
        </w:numPr>
      </w:pPr>
      <w:r>
        <w:rPr>
          <w:b/>
          <w:bCs/>
        </w:rPr>
        <w:t xml:space="preserve">Receipt basis:</w:t>
      </w:r>
      <w:r>
        <w:t xml:space="preserve"> </w:t>
      </w:r>
      <w:r>
        <w:t xml:space="preserve">Parent doctrine and center-capture tests</w:t>
      </w:r>
    </w:p>
    <w:p>
      <w:pPr>
        <w:pStyle w:val="Compact"/>
        <w:numPr>
          <w:ilvl w:val="0"/>
          <w:numId w:val="1029"/>
        </w:numPr>
      </w:pPr>
      <w:r>
        <w:rPr>
          <w:b/>
          <w:bCs/>
        </w:rPr>
        <w:t xml:space="preserve">Explicit non-claim:</w:t>
      </w:r>
      <w:r>
        <w:t xml:space="preserve"> </w:t>
      </w:r>
      <w:r>
        <w:t xml:space="preserve">No prohibition on scoped decisions</w:t>
      </w:r>
    </w:p>
    <w:bookmarkEnd w:id="278"/>
    <w:bookmarkStart w:id="279" w:name="X64f7f634d397bfd6ccbd0c7e62ee43eb00ad96b"/>
    <w:p>
      <w:pPr>
        <w:pStyle w:val="Heading2"/>
      </w:pPr>
      <w:r>
        <w:t xml:space="preserve">E.4 Signal, warrant, lifecycle, and promotion surfaces</w:t>
      </w:r>
    </w:p>
    <w:p>
      <w:pPr>
        <w:pStyle w:val="Compact"/>
        <w:numPr>
          <w:ilvl w:val="0"/>
          <w:numId w:val="1030"/>
        </w:numPr>
      </w:pPr>
      <w:r>
        <w:rPr>
          <w:b/>
          <w:bCs/>
        </w:rPr>
        <w:t xml:space="preserve">Status:</w:t>
      </w:r>
      <w:r>
        <w:t xml:space="preserve"> </w:t>
      </w:r>
      <w:r>
        <w:t xml:space="preserve">Established in Ubiquity</w:t>
      </w:r>
    </w:p>
    <w:p>
      <w:pPr>
        <w:pStyle w:val="Compact"/>
        <w:numPr>
          <w:ilvl w:val="0"/>
          <w:numId w:val="1030"/>
        </w:numPr>
      </w:pPr>
      <w:r>
        <w:rPr>
          <w:b/>
          <w:bCs/>
        </w:rPr>
        <w:t xml:space="preserve">Receipt basis:</w:t>
      </w:r>
      <w:r>
        <w:t xml:space="preserve"> </w:t>
      </w:r>
      <w:r>
        <w:t xml:space="preserve">Public and source lineage</w:t>
      </w:r>
    </w:p>
    <w:p>
      <w:pPr>
        <w:pStyle w:val="Compact"/>
        <w:numPr>
          <w:ilvl w:val="0"/>
          <w:numId w:val="1030"/>
        </w:numPr>
      </w:pPr>
      <w:r>
        <w:rPr>
          <w:b/>
          <w:bCs/>
        </w:rPr>
        <w:t xml:space="preserve">Explicit non-claim:</w:t>
      </w:r>
      <w:r>
        <w:t xml:space="preserve"> </w:t>
      </w:r>
      <w:r>
        <w:t xml:space="preserve">No universal governance-standard claim</w:t>
      </w:r>
    </w:p>
    <w:bookmarkEnd w:id="279"/>
    <w:bookmarkStart w:id="280" w:name="X18951996ef5e2031ce9837d68bac3e3b3c65a0e"/>
    <w:p>
      <w:pPr>
        <w:pStyle w:val="Heading2"/>
      </w:pPr>
      <w:r>
        <w:t xml:space="preserve">E.5 FORKED estate identity and parent gate</w:t>
      </w:r>
    </w:p>
    <w:p>
      <w:pPr>
        <w:pStyle w:val="Compact"/>
        <w:numPr>
          <w:ilvl w:val="0"/>
          <w:numId w:val="1031"/>
        </w:numPr>
      </w:pPr>
      <w:r>
        <w:rPr>
          <w:b/>
          <w:bCs/>
        </w:rPr>
        <w:t xml:space="preserve">Status:</w:t>
      </w:r>
      <w:r>
        <w:t xml:space="preserve"> </w:t>
      </w:r>
      <w:r>
        <w:t xml:space="preserve">Implemented native</w:t>
      </w:r>
    </w:p>
    <w:p>
      <w:pPr>
        <w:pStyle w:val="Compact"/>
        <w:numPr>
          <w:ilvl w:val="0"/>
          <w:numId w:val="1031"/>
        </w:numPr>
      </w:pPr>
      <w:r>
        <w:rPr>
          <w:b/>
          <w:bCs/>
        </w:rPr>
        <w:t xml:space="preserve">Receipt basis:</w:t>
      </w:r>
      <w:r>
        <w:t xml:space="preserve"> </w:t>
      </w:r>
      <w:r>
        <w:t xml:space="preserve">Executable manifest and validation</w:t>
      </w:r>
    </w:p>
    <w:p>
      <w:pPr>
        <w:pStyle w:val="Compact"/>
        <w:numPr>
          <w:ilvl w:val="0"/>
          <w:numId w:val="1031"/>
        </w:numPr>
      </w:pPr>
      <w:r>
        <w:rPr>
          <w:b/>
          <w:bCs/>
        </w:rPr>
        <w:t xml:space="preserve">Explicit non-claim:</w:t>
      </w:r>
      <w:r>
        <w:t xml:space="preserve"> </w:t>
      </w:r>
      <w:r>
        <w:t xml:space="preserve">Local instance remains non-canonical</w:t>
      </w:r>
    </w:p>
    <w:bookmarkEnd w:id="280"/>
    <w:bookmarkStart w:id="281" w:name="e.6-six-facet-partial-fractal"/>
    <w:p>
      <w:pPr>
        <w:pStyle w:val="Heading2"/>
      </w:pPr>
      <w:r>
        <w:t xml:space="preserve">E.6 Six-facet partial fractal</w:t>
      </w:r>
    </w:p>
    <w:p>
      <w:pPr>
        <w:pStyle w:val="Compact"/>
        <w:numPr>
          <w:ilvl w:val="0"/>
          <w:numId w:val="1032"/>
        </w:numPr>
      </w:pPr>
      <w:r>
        <w:rPr>
          <w:b/>
          <w:bCs/>
        </w:rPr>
        <w:t xml:space="preserve">Status:</w:t>
      </w:r>
      <w:r>
        <w:t xml:space="preserve"> </w:t>
      </w:r>
      <w:r>
        <w:t xml:space="preserve">Implemented native</w:t>
      </w:r>
    </w:p>
    <w:p>
      <w:pPr>
        <w:pStyle w:val="Compact"/>
        <w:numPr>
          <w:ilvl w:val="0"/>
          <w:numId w:val="1032"/>
        </w:numPr>
      </w:pPr>
      <w:r>
        <w:rPr>
          <w:b/>
          <w:bCs/>
        </w:rPr>
        <w:t xml:space="preserve">Receipt basis:</w:t>
      </w:r>
      <w:r>
        <w:t xml:space="preserve"> </w:t>
      </w:r>
      <w:r>
        <w:t xml:space="preserve">Schemas and tests</w:t>
      </w:r>
    </w:p>
    <w:p>
      <w:pPr>
        <w:pStyle w:val="Compact"/>
        <w:numPr>
          <w:ilvl w:val="0"/>
          <w:numId w:val="1032"/>
        </w:numPr>
      </w:pPr>
      <w:r>
        <w:rPr>
          <w:b/>
          <w:bCs/>
        </w:rPr>
        <w:t xml:space="preserve">Explicit non-claim:</w:t>
      </w:r>
      <w:r>
        <w:t xml:space="preserve"> </w:t>
      </w:r>
      <w:r>
        <w:t xml:space="preserve">Facet content remains context-specific</w:t>
      </w:r>
    </w:p>
    <w:bookmarkEnd w:id="281"/>
    <w:bookmarkStart w:id="282" w:name="e.7-shape-priority-terrain-retrieval"/>
    <w:p>
      <w:pPr>
        <w:pStyle w:val="Heading2"/>
      </w:pPr>
      <w:r>
        <w:t xml:space="preserve">E.7 Shape-priority terrain retrieval</w:t>
      </w:r>
    </w:p>
    <w:p>
      <w:pPr>
        <w:pStyle w:val="Compact"/>
        <w:numPr>
          <w:ilvl w:val="0"/>
          <w:numId w:val="1033"/>
        </w:numPr>
      </w:pPr>
      <w:r>
        <w:rPr>
          <w:b/>
          <w:bCs/>
        </w:rPr>
        <w:t xml:space="preserve">Status:</w:t>
      </w:r>
      <w:r>
        <w:t xml:space="preserve"> </w:t>
      </w:r>
      <w:r>
        <w:t xml:space="preserve">Implemented native; synthetic observed</w:t>
      </w:r>
    </w:p>
    <w:p>
      <w:pPr>
        <w:pStyle w:val="Compact"/>
        <w:numPr>
          <w:ilvl w:val="0"/>
          <w:numId w:val="1033"/>
        </w:numPr>
      </w:pPr>
      <w:r>
        <w:rPr>
          <w:b/>
          <w:bCs/>
        </w:rPr>
        <w:t xml:space="preserve">Receipt basis:</w:t>
      </w:r>
      <w:r>
        <w:t xml:space="preserve"> </w:t>
      </w:r>
      <w:r>
        <w:t xml:space="preserve">500/500 paired policy trials</w:t>
      </w:r>
    </w:p>
    <w:p>
      <w:pPr>
        <w:pStyle w:val="Compact"/>
        <w:numPr>
          <w:ilvl w:val="0"/>
          <w:numId w:val="1033"/>
        </w:numPr>
      </w:pPr>
      <w:r>
        <w:rPr>
          <w:b/>
          <w:bCs/>
        </w:rPr>
        <w:t xml:space="preserve">Explicit non-claim:</w:t>
      </w:r>
      <w:r>
        <w:t xml:space="preserve"> </w:t>
      </w:r>
      <w:r>
        <w:t xml:space="preserve">Weights are not externally calibrated</w:t>
      </w:r>
    </w:p>
    <w:bookmarkEnd w:id="282"/>
    <w:bookmarkStart w:id="283" w:name="e.8-aesop-mixture-and-ponr-field"/>
    <w:p>
      <w:pPr>
        <w:pStyle w:val="Heading2"/>
      </w:pPr>
      <w:r>
        <w:t xml:space="preserve">E.8 Aesop mixture and PONR field</w:t>
      </w:r>
    </w:p>
    <w:p>
      <w:pPr>
        <w:pStyle w:val="Compact"/>
        <w:numPr>
          <w:ilvl w:val="0"/>
          <w:numId w:val="1034"/>
        </w:numPr>
      </w:pPr>
      <w:r>
        <w:rPr>
          <w:b/>
          <w:bCs/>
        </w:rPr>
        <w:t xml:space="preserve">Status:</w:t>
      </w:r>
      <w:r>
        <w:t xml:space="preserve"> </w:t>
      </w:r>
      <w:r>
        <w:t xml:space="preserve">Component verified</w:t>
      </w:r>
    </w:p>
    <w:p>
      <w:pPr>
        <w:pStyle w:val="Compact"/>
        <w:numPr>
          <w:ilvl w:val="0"/>
          <w:numId w:val="1034"/>
        </w:numPr>
      </w:pPr>
      <w:r>
        <w:rPr>
          <w:b/>
          <w:bCs/>
        </w:rPr>
        <w:t xml:space="preserve">Receipt basis:</w:t>
      </w:r>
      <w:r>
        <w:t xml:space="preserve"> </w:t>
      </w:r>
      <w:r>
        <w:t xml:space="preserve">Executable selftest and native campaign</w:t>
      </w:r>
    </w:p>
    <w:p>
      <w:pPr>
        <w:pStyle w:val="Compact"/>
        <w:numPr>
          <w:ilvl w:val="0"/>
          <w:numId w:val="1034"/>
        </w:numPr>
      </w:pPr>
      <w:r>
        <w:rPr>
          <w:b/>
          <w:bCs/>
        </w:rPr>
        <w:t xml:space="preserve">Explicit non-claim:</w:t>
      </w:r>
      <w:r>
        <w:t xml:space="preserve"> </w:t>
      </w:r>
      <w:r>
        <w:t xml:space="preserve">Human and cultural effects remain open</w:t>
      </w:r>
    </w:p>
    <w:bookmarkEnd w:id="283"/>
    <w:bookmarkStart w:id="284" w:name="X1759dbb61aa40b7646aa91cc154b40a11572d29"/>
    <w:p>
      <w:pPr>
        <w:pStyle w:val="Heading2"/>
      </w:pPr>
      <w:r>
        <w:t xml:space="preserve">E.9 Cables, winches, clamps, and dual hazard</w:t>
      </w:r>
    </w:p>
    <w:p>
      <w:pPr>
        <w:pStyle w:val="Compact"/>
        <w:numPr>
          <w:ilvl w:val="0"/>
          <w:numId w:val="1035"/>
        </w:numPr>
      </w:pPr>
      <w:r>
        <w:rPr>
          <w:b/>
          <w:bCs/>
        </w:rPr>
        <w:t xml:space="preserve">Status:</w:t>
      </w:r>
      <w:r>
        <w:t xml:space="preserve"> </w:t>
      </w:r>
      <w:r>
        <w:t xml:space="preserve">Implemented native</w:t>
      </w:r>
    </w:p>
    <w:p>
      <w:pPr>
        <w:pStyle w:val="Compact"/>
        <w:numPr>
          <w:ilvl w:val="0"/>
          <w:numId w:val="1035"/>
        </w:numPr>
      </w:pPr>
      <w:r>
        <w:rPr>
          <w:b/>
          <w:bCs/>
        </w:rPr>
        <w:t xml:space="preserve">Receipt basis:</w:t>
      </w:r>
      <w:r>
        <w:t xml:space="preserve"> </w:t>
      </w:r>
      <w:r>
        <w:t xml:space="preserve">Responsibility and threshold modules</w:t>
      </w:r>
    </w:p>
    <w:p>
      <w:pPr>
        <w:pStyle w:val="Compact"/>
        <w:numPr>
          <w:ilvl w:val="0"/>
          <w:numId w:val="1035"/>
        </w:numPr>
      </w:pPr>
      <w:r>
        <w:rPr>
          <w:b/>
          <w:bCs/>
        </w:rPr>
        <w:t xml:space="preserve">Explicit non-claim:</w:t>
      </w:r>
      <w:r>
        <w:t xml:space="preserve"> </w:t>
      </w:r>
      <w:r>
        <w:t xml:space="preserve">Cross-domain utility remains open</w:t>
      </w:r>
    </w:p>
    <w:bookmarkEnd w:id="284"/>
    <w:bookmarkStart w:id="285" w:name="e.10-dag-of-dag-correction"/>
    <w:p>
      <w:pPr>
        <w:pStyle w:val="Heading2"/>
      </w:pPr>
      <w:r>
        <w:t xml:space="preserve">E.10 DAG-of-DAG correction</w:t>
      </w:r>
    </w:p>
    <w:p>
      <w:pPr>
        <w:pStyle w:val="Compact"/>
        <w:numPr>
          <w:ilvl w:val="0"/>
          <w:numId w:val="1036"/>
        </w:numPr>
      </w:pPr>
      <w:r>
        <w:rPr>
          <w:b/>
          <w:bCs/>
        </w:rPr>
        <w:t xml:space="preserve">Status:</w:t>
      </w:r>
      <w:r>
        <w:t xml:space="preserve"> </w:t>
      </w:r>
      <w:r>
        <w:t xml:space="preserve">Implemented native; synthetic observed</w:t>
      </w:r>
    </w:p>
    <w:p>
      <w:pPr>
        <w:pStyle w:val="Compact"/>
        <w:numPr>
          <w:ilvl w:val="0"/>
          <w:numId w:val="1036"/>
        </w:numPr>
      </w:pPr>
      <w:r>
        <w:rPr>
          <w:b/>
          <w:bCs/>
        </w:rPr>
        <w:t xml:space="preserve">Receipt basis:</w:t>
      </w:r>
      <w:r>
        <w:t xml:space="preserve"> </w:t>
      </w:r>
      <w:r>
        <w:t xml:space="preserve">Graph tests and campaigns</w:t>
      </w:r>
    </w:p>
    <w:p>
      <w:pPr>
        <w:pStyle w:val="Compact"/>
        <w:numPr>
          <w:ilvl w:val="0"/>
          <w:numId w:val="1036"/>
        </w:numPr>
      </w:pPr>
      <w:r>
        <w:rPr>
          <w:b/>
          <w:bCs/>
        </w:rPr>
        <w:t xml:space="preserve">Explicit non-claim:</w:t>
      </w:r>
      <w:r>
        <w:t xml:space="preserve"> </w:t>
      </w:r>
      <w:r>
        <w:t xml:space="preserve">Unknown dependencies remain a boundary</w:t>
      </w:r>
    </w:p>
    <w:bookmarkEnd w:id="285"/>
    <w:bookmarkStart w:id="286" w:name="e.11-observer-state-and-sightstate"/>
    <w:p>
      <w:pPr>
        <w:pStyle w:val="Heading2"/>
      </w:pPr>
      <w:r>
        <w:t xml:space="preserve">E.11 Observer state and SightState</w:t>
      </w:r>
    </w:p>
    <w:p>
      <w:pPr>
        <w:pStyle w:val="Compact"/>
        <w:numPr>
          <w:ilvl w:val="0"/>
          <w:numId w:val="1037"/>
        </w:numPr>
      </w:pPr>
      <w:r>
        <w:rPr>
          <w:b/>
          <w:bCs/>
        </w:rPr>
        <w:t xml:space="preserve">Status:</w:t>
      </w:r>
      <w:r>
        <w:t xml:space="preserve"> </w:t>
      </w:r>
      <w:r>
        <w:t xml:space="preserve">Implemented native</w:t>
      </w:r>
    </w:p>
    <w:p>
      <w:pPr>
        <w:pStyle w:val="Compact"/>
        <w:numPr>
          <w:ilvl w:val="0"/>
          <w:numId w:val="1037"/>
        </w:numPr>
      </w:pPr>
      <w:r>
        <w:rPr>
          <w:b/>
          <w:bCs/>
        </w:rPr>
        <w:t xml:space="preserve">Receipt basis:</w:t>
      </w:r>
      <w:r>
        <w:t xml:space="preserve"> </w:t>
      </w:r>
      <w:r>
        <w:t xml:space="preserve">Schemas and component tests</w:t>
      </w:r>
    </w:p>
    <w:p>
      <w:pPr>
        <w:pStyle w:val="Compact"/>
        <w:numPr>
          <w:ilvl w:val="0"/>
          <w:numId w:val="1037"/>
        </w:numPr>
      </w:pPr>
      <w:r>
        <w:rPr>
          <w:b/>
          <w:bCs/>
        </w:rPr>
        <w:t xml:space="preserve">Explicit non-claim:</w:t>
      </w:r>
      <w:r>
        <w:t xml:space="preserve"> </w:t>
      </w:r>
      <w:r>
        <w:t xml:space="preserve">Field sensor validity remains open</w:t>
      </w:r>
    </w:p>
    <w:bookmarkEnd w:id="286"/>
    <w:bookmarkStart w:id="287" w:name="e.12-meaningful-agency-gate"/>
    <w:p>
      <w:pPr>
        <w:pStyle w:val="Heading2"/>
      </w:pPr>
      <w:r>
        <w:t xml:space="preserve">E.12 Meaningful agency gate</w:t>
      </w:r>
    </w:p>
    <w:p>
      <w:pPr>
        <w:pStyle w:val="Compact"/>
        <w:numPr>
          <w:ilvl w:val="0"/>
          <w:numId w:val="1038"/>
        </w:numPr>
      </w:pPr>
      <w:r>
        <w:rPr>
          <w:b/>
          <w:bCs/>
        </w:rPr>
        <w:t xml:space="preserve">Status:</w:t>
      </w:r>
      <w:r>
        <w:t xml:space="preserve"> </w:t>
      </w:r>
      <w:r>
        <w:t xml:space="preserve">Implemented native; synthetic code-path observed</w:t>
      </w:r>
    </w:p>
    <w:p>
      <w:pPr>
        <w:pStyle w:val="Compact"/>
        <w:numPr>
          <w:ilvl w:val="0"/>
          <w:numId w:val="1038"/>
        </w:numPr>
      </w:pPr>
      <w:r>
        <w:rPr>
          <w:b/>
          <w:bCs/>
        </w:rPr>
        <w:t xml:space="preserve">Receipt basis:</w:t>
      </w:r>
      <w:r>
        <w:t xml:space="preserve"> </w:t>
      </w:r>
      <w:r>
        <w:t xml:space="preserve">Threshold campaign</w:t>
      </w:r>
    </w:p>
    <w:p>
      <w:pPr>
        <w:pStyle w:val="Compact"/>
        <w:numPr>
          <w:ilvl w:val="0"/>
          <w:numId w:val="1038"/>
        </w:numPr>
      </w:pPr>
      <w:r>
        <w:rPr>
          <w:b/>
          <w:bCs/>
        </w:rPr>
        <w:t xml:space="preserve">Explicit non-claim:</w:t>
      </w:r>
      <w:r>
        <w:t xml:space="preserve"> </w:t>
      </w:r>
      <w:r>
        <w:t xml:space="preserve">Human instrument validity remains open</w:t>
      </w:r>
    </w:p>
    <w:bookmarkEnd w:id="287"/>
    <w:bookmarkStart w:id="288" w:name="e.13-hunger-simulation"/>
    <w:p>
      <w:pPr>
        <w:pStyle w:val="Heading2"/>
      </w:pPr>
      <w:r>
        <w:t xml:space="preserve">E.13 HUNGER simulation</w:t>
      </w:r>
    </w:p>
    <w:p>
      <w:pPr>
        <w:pStyle w:val="Compact"/>
        <w:numPr>
          <w:ilvl w:val="0"/>
          <w:numId w:val="1039"/>
        </w:numPr>
      </w:pPr>
      <w:r>
        <w:rPr>
          <w:b/>
          <w:bCs/>
        </w:rPr>
        <w:t xml:space="preserve">Status:</w:t>
      </w:r>
      <w:r>
        <w:t xml:space="preserve"> </w:t>
      </w:r>
      <w:r>
        <w:t xml:space="preserve">Implemented native; synthetic observed</w:t>
      </w:r>
    </w:p>
    <w:p>
      <w:pPr>
        <w:pStyle w:val="Compact"/>
        <w:numPr>
          <w:ilvl w:val="0"/>
          <w:numId w:val="1039"/>
        </w:numPr>
      </w:pPr>
      <w:r>
        <w:rPr>
          <w:b/>
          <w:bCs/>
        </w:rPr>
        <w:t xml:space="preserve">Receipt basis:</w:t>
      </w:r>
      <w:r>
        <w:t xml:space="preserve"> </w:t>
      </w:r>
      <w:r>
        <w:t xml:space="preserve">64-run campaign and source artifact</w:t>
      </w:r>
    </w:p>
    <w:p>
      <w:pPr>
        <w:pStyle w:val="Compact"/>
        <w:numPr>
          <w:ilvl w:val="0"/>
          <w:numId w:val="1039"/>
        </w:numPr>
      </w:pPr>
      <w:r>
        <w:rPr>
          <w:b/>
          <w:bCs/>
        </w:rPr>
        <w:t xml:space="preserve">Explicit non-claim:</w:t>
      </w:r>
      <w:r>
        <w:t xml:space="preserve"> </w:t>
      </w:r>
      <w:r>
        <w:t xml:space="preserve">No biological or human survival claim</w:t>
      </w:r>
    </w:p>
    <w:bookmarkEnd w:id="288"/>
    <w:bookmarkStart w:id="289" w:name="e.14-physarumlichen-biome"/>
    <w:p>
      <w:pPr>
        <w:pStyle w:val="Heading2"/>
      </w:pPr>
      <w:r>
        <w:t xml:space="preserve">E.14 Physarum/Lichen biome</w:t>
      </w:r>
    </w:p>
    <w:p>
      <w:pPr>
        <w:pStyle w:val="Compact"/>
        <w:numPr>
          <w:ilvl w:val="0"/>
          <w:numId w:val="1040"/>
        </w:numPr>
      </w:pPr>
      <w:r>
        <w:rPr>
          <w:b/>
          <w:bCs/>
        </w:rPr>
        <w:t xml:space="preserve">Status:</w:t>
      </w:r>
      <w:r>
        <w:t xml:space="preserve"> </w:t>
      </w:r>
      <w:r>
        <w:t xml:space="preserve">Implemented native; synthetic observed</w:t>
      </w:r>
    </w:p>
    <w:p>
      <w:pPr>
        <w:pStyle w:val="Compact"/>
        <w:numPr>
          <w:ilvl w:val="0"/>
          <w:numId w:val="1040"/>
        </w:numPr>
      </w:pPr>
      <w:r>
        <w:rPr>
          <w:b/>
          <w:bCs/>
        </w:rPr>
        <w:t xml:space="preserve">Receipt basis:</w:t>
      </w:r>
      <w:r>
        <w:t xml:space="preserve"> </w:t>
      </w:r>
      <w:r>
        <w:t xml:space="preserve">32 cohorts and four acts</w:t>
      </w:r>
    </w:p>
    <w:p>
      <w:pPr>
        <w:pStyle w:val="Compact"/>
        <w:numPr>
          <w:ilvl w:val="0"/>
          <w:numId w:val="1040"/>
        </w:numPr>
      </w:pPr>
      <w:r>
        <w:rPr>
          <w:b/>
          <w:bCs/>
        </w:rPr>
        <w:t xml:space="preserve">Explicit non-claim:</w:t>
      </w:r>
      <w:r>
        <w:t xml:space="preserve"> </w:t>
      </w:r>
      <w:r>
        <w:t xml:space="preserve">Real participant learning remains open</w:t>
      </w:r>
    </w:p>
    <w:bookmarkEnd w:id="289"/>
    <w:bookmarkStart w:id="290" w:name="Xa558e128ff059dc3a0da881380ad79cce60101d"/>
    <w:p>
      <w:pPr>
        <w:pStyle w:val="Heading2"/>
      </w:pPr>
      <w:r>
        <w:t xml:space="preserve">E.15 Held-anchor economy and shadow membrane</w:t>
      </w:r>
    </w:p>
    <w:p>
      <w:pPr>
        <w:pStyle w:val="Compact"/>
        <w:numPr>
          <w:ilvl w:val="0"/>
          <w:numId w:val="1041"/>
        </w:numPr>
      </w:pPr>
      <w:r>
        <w:rPr>
          <w:b/>
          <w:bCs/>
        </w:rPr>
        <w:t xml:space="preserve">Status:</w:t>
      </w:r>
      <w:r>
        <w:t xml:space="preserve"> </w:t>
      </w:r>
      <w:r>
        <w:t xml:space="preserve">Component verified</w:t>
      </w:r>
    </w:p>
    <w:p>
      <w:pPr>
        <w:pStyle w:val="Compact"/>
        <w:numPr>
          <w:ilvl w:val="0"/>
          <w:numId w:val="1041"/>
        </w:numPr>
      </w:pPr>
      <w:r>
        <w:rPr>
          <w:b/>
          <w:bCs/>
        </w:rPr>
        <w:t xml:space="preserve">Receipt basis:</w:t>
      </w:r>
      <w:r>
        <w:t xml:space="preserve"> </w:t>
      </w:r>
      <w:r>
        <w:t xml:space="preserve">Four component selftests</w:t>
      </w:r>
    </w:p>
    <w:p>
      <w:pPr>
        <w:pStyle w:val="Compact"/>
        <w:numPr>
          <w:ilvl w:val="0"/>
          <w:numId w:val="1041"/>
        </w:numPr>
      </w:pPr>
      <w:r>
        <w:rPr>
          <w:b/>
          <w:bCs/>
        </w:rPr>
        <w:t xml:space="preserve">Explicit non-claim:</w:t>
      </w:r>
      <w:r>
        <w:t xml:space="preserve"> </w:t>
      </w:r>
      <w:r>
        <w:t xml:space="preserve">Economic desirability is not universal</w:t>
      </w:r>
    </w:p>
    <w:bookmarkEnd w:id="290"/>
    <w:bookmarkStart w:id="291" w:name="e.16-sensory-ttl-and-elevation"/>
    <w:p>
      <w:pPr>
        <w:pStyle w:val="Heading2"/>
      </w:pPr>
      <w:r>
        <w:t xml:space="preserve">E.16 Sensory TTL and elevation</w:t>
      </w:r>
    </w:p>
    <w:p>
      <w:pPr>
        <w:pStyle w:val="Compact"/>
        <w:numPr>
          <w:ilvl w:val="0"/>
          <w:numId w:val="1042"/>
        </w:numPr>
      </w:pPr>
      <w:r>
        <w:rPr>
          <w:b/>
          <w:bCs/>
        </w:rPr>
        <w:t xml:space="preserve">Status:</w:t>
      </w:r>
      <w:r>
        <w:t xml:space="preserve"> </w:t>
      </w:r>
      <w:r>
        <w:t xml:space="preserve">Implemented native / active source spec</w:t>
      </w:r>
    </w:p>
    <w:p>
      <w:pPr>
        <w:pStyle w:val="Compact"/>
        <w:numPr>
          <w:ilvl w:val="0"/>
          <w:numId w:val="1042"/>
        </w:numPr>
      </w:pPr>
      <w:r>
        <w:rPr>
          <w:b/>
          <w:bCs/>
        </w:rPr>
        <w:t xml:space="preserve">Receipt basis:</w:t>
      </w:r>
      <w:r>
        <w:t xml:space="preserve"> </w:t>
      </w:r>
      <w:r>
        <w:t xml:space="preserve">Sensory lane source and native module</w:t>
      </w:r>
    </w:p>
    <w:p>
      <w:pPr>
        <w:pStyle w:val="Compact"/>
        <w:numPr>
          <w:ilvl w:val="0"/>
          <w:numId w:val="1042"/>
        </w:numPr>
      </w:pPr>
      <w:r>
        <w:rPr>
          <w:b/>
          <w:bCs/>
        </w:rPr>
        <w:t xml:space="preserve">Explicit non-claim:</w:t>
      </w:r>
      <w:r>
        <w:t xml:space="preserve"> </w:t>
      </w:r>
      <w:r>
        <w:t xml:space="preserve">Production thresholds remain local</w:t>
      </w:r>
    </w:p>
    <w:bookmarkEnd w:id="291"/>
    <w:bookmarkStart w:id="292" w:name="X29c06306e5e677dfce3da78c1dea6ef9ee3b007"/>
    <w:p>
      <w:pPr>
        <w:pStyle w:val="Heading2"/>
      </w:pPr>
      <w:r>
        <w:t xml:space="preserve">E.17 Cross-biome visas and citizen lifecycle</w:t>
      </w:r>
    </w:p>
    <w:p>
      <w:pPr>
        <w:pStyle w:val="Compact"/>
        <w:numPr>
          <w:ilvl w:val="0"/>
          <w:numId w:val="1043"/>
        </w:numPr>
      </w:pPr>
      <w:r>
        <w:rPr>
          <w:b/>
          <w:bCs/>
        </w:rPr>
        <w:t xml:space="preserve">Status:</w:t>
      </w:r>
      <w:r>
        <w:t xml:space="preserve"> </w:t>
      </w:r>
      <w:r>
        <w:t xml:space="preserve">Native/source established</w:t>
      </w:r>
    </w:p>
    <w:p>
      <w:pPr>
        <w:pStyle w:val="Compact"/>
        <w:numPr>
          <w:ilvl w:val="0"/>
          <w:numId w:val="1043"/>
        </w:numPr>
      </w:pPr>
      <w:r>
        <w:rPr>
          <w:b/>
          <w:bCs/>
        </w:rPr>
        <w:t xml:space="preserve">Receipt basis:</w:t>
      </w:r>
      <w:r>
        <w:t xml:space="preserve"> </w:t>
      </w:r>
      <w:r>
        <w:t xml:space="preserve">Active specifications and native lifecycle</w:t>
      </w:r>
    </w:p>
    <w:p>
      <w:pPr>
        <w:pStyle w:val="Compact"/>
        <w:numPr>
          <w:ilvl w:val="0"/>
          <w:numId w:val="1043"/>
        </w:numPr>
      </w:pPr>
      <w:r>
        <w:rPr>
          <w:b/>
          <w:bCs/>
        </w:rPr>
        <w:t xml:space="preserve">Explicit non-claim:</w:t>
      </w:r>
      <w:r>
        <w:t xml:space="preserve"> </w:t>
      </w:r>
      <w:r>
        <w:t xml:space="preserve">Standing policy remains biome-specific</w:t>
      </w:r>
    </w:p>
    <w:bookmarkEnd w:id="292"/>
    <w:bookmarkStart w:id="293" w:name="e.18-hardware-in-the-loop-profile"/>
    <w:p>
      <w:pPr>
        <w:pStyle w:val="Heading2"/>
      </w:pPr>
      <w:r>
        <w:t xml:space="preserve">E.18 Hardware-in-the-loop profile</w:t>
      </w:r>
    </w:p>
    <w:p>
      <w:pPr>
        <w:pStyle w:val="Compact"/>
        <w:numPr>
          <w:ilvl w:val="0"/>
          <w:numId w:val="1044"/>
        </w:numPr>
      </w:pPr>
      <w:r>
        <w:rPr>
          <w:b/>
          <w:bCs/>
        </w:rPr>
        <w:t xml:space="preserve">Status:</w:t>
      </w:r>
      <w:r>
        <w:t xml:space="preserve"> </w:t>
      </w:r>
      <w:r>
        <w:t xml:space="preserve">Architectural synthesis</w:t>
      </w:r>
    </w:p>
    <w:p>
      <w:pPr>
        <w:pStyle w:val="Compact"/>
        <w:numPr>
          <w:ilvl w:val="0"/>
          <w:numId w:val="1044"/>
        </w:numPr>
      </w:pPr>
      <w:r>
        <w:rPr>
          <w:b/>
          <w:bCs/>
        </w:rPr>
        <w:t xml:space="preserve">Receipt basis:</w:t>
      </w:r>
      <w:r>
        <w:t xml:space="preserve"> </w:t>
      </w:r>
      <w:r>
        <w:t xml:space="preserve">Public reference architecture</w:t>
      </w:r>
    </w:p>
    <w:p>
      <w:pPr>
        <w:pStyle w:val="Compact"/>
        <w:numPr>
          <w:ilvl w:val="0"/>
          <w:numId w:val="1044"/>
        </w:numPr>
      </w:pPr>
      <w:r>
        <w:rPr>
          <w:b/>
          <w:bCs/>
        </w:rPr>
        <w:t xml:space="preserve">Explicit non-claim:</w:t>
      </w:r>
      <w:r>
        <w:t xml:space="preserve"> </w:t>
      </w:r>
      <w:r>
        <w:t xml:space="preserve">Physical implementation remains open</w:t>
      </w:r>
    </w:p>
    <w:bookmarkEnd w:id="293"/>
    <w:bookmarkStart w:id="294" w:name="e.19-recurring-assurance-market"/>
    <w:p>
      <w:pPr>
        <w:pStyle w:val="Heading2"/>
      </w:pPr>
      <w:r>
        <w:t xml:space="preserve">E.19 Recurring assurance market</w:t>
      </w:r>
    </w:p>
    <w:p>
      <w:pPr>
        <w:pStyle w:val="Compact"/>
        <w:numPr>
          <w:ilvl w:val="0"/>
          <w:numId w:val="1045"/>
        </w:numPr>
      </w:pPr>
      <w:r>
        <w:rPr>
          <w:b/>
          <w:bCs/>
        </w:rPr>
        <w:t xml:space="preserve">Status:</w:t>
      </w:r>
      <w:r>
        <w:t xml:space="preserve"> </w:t>
      </w:r>
      <w:r>
        <w:t xml:space="preserve">Research and commercial hypothesis</w:t>
      </w:r>
    </w:p>
    <w:p>
      <w:pPr>
        <w:pStyle w:val="Compact"/>
        <w:numPr>
          <w:ilvl w:val="0"/>
          <w:numId w:val="1045"/>
        </w:numPr>
      </w:pPr>
      <w:r>
        <w:rPr>
          <w:b/>
          <w:bCs/>
        </w:rPr>
        <w:t xml:space="preserve">Receipt basis:</w:t>
      </w:r>
      <w:r>
        <w:t xml:space="preserve"> </w:t>
      </w:r>
      <w:r>
        <w:t xml:space="preserve">Architecture and requalification model</w:t>
      </w:r>
    </w:p>
    <w:p>
      <w:pPr>
        <w:pStyle w:val="Compact"/>
        <w:numPr>
          <w:ilvl w:val="0"/>
          <w:numId w:val="1045"/>
        </w:numPr>
      </w:pPr>
      <w:r>
        <w:rPr>
          <w:b/>
          <w:bCs/>
        </w:rPr>
        <w:t xml:space="preserve">Explicit non-claim:</w:t>
      </w:r>
      <w:r>
        <w:t xml:space="preserve"> </w:t>
      </w:r>
      <w:r>
        <w:t xml:space="preserve">Customer evidence remains open</w:t>
      </w:r>
    </w:p>
    <w:bookmarkEnd w:id="294"/>
    <w:bookmarkStart w:id="295" w:name="e.20-operational-military-performance"/>
    <w:p>
      <w:pPr>
        <w:pStyle w:val="Heading2"/>
      </w:pPr>
      <w:r>
        <w:t xml:space="preserve">E.20 Operational military performance</w:t>
      </w:r>
    </w:p>
    <w:p>
      <w:pPr>
        <w:pStyle w:val="Compact"/>
        <w:numPr>
          <w:ilvl w:val="0"/>
          <w:numId w:val="1046"/>
        </w:numPr>
      </w:pPr>
      <w:r>
        <w:rPr>
          <w:b/>
          <w:bCs/>
        </w:rPr>
        <w:t xml:space="preserve">Status:</w:t>
      </w:r>
      <w:r>
        <w:t xml:space="preserve"> </w:t>
      </w:r>
      <w:r>
        <w:t xml:space="preserve">Release restricted and open</w:t>
      </w:r>
    </w:p>
    <w:p>
      <w:pPr>
        <w:pStyle w:val="Compact"/>
        <w:numPr>
          <w:ilvl w:val="0"/>
          <w:numId w:val="1046"/>
        </w:numPr>
      </w:pPr>
      <w:r>
        <w:rPr>
          <w:b/>
          <w:bCs/>
        </w:rPr>
        <w:t xml:space="preserve">Receipt basis:</w:t>
      </w:r>
      <w:r>
        <w:t xml:space="preserve"> </w:t>
      </w:r>
      <w:r>
        <w:t xml:space="preserve">No public operational study</w:t>
      </w:r>
    </w:p>
    <w:p>
      <w:pPr>
        <w:pStyle w:val="Compact"/>
        <w:numPr>
          <w:ilvl w:val="0"/>
          <w:numId w:val="1046"/>
        </w:numPr>
      </w:pPr>
      <w:r>
        <w:rPr>
          <w:b/>
          <w:bCs/>
        </w:rPr>
        <w:t xml:space="preserve">Explicit non-claim:</w:t>
      </w:r>
      <w:r>
        <w:t xml:space="preserve"> </w:t>
      </w:r>
      <w:r>
        <w:t xml:space="preserve">No operational performance claim</w:t>
      </w:r>
    </w:p>
    <w:bookmarkEnd w:id="295"/>
    <w:bookmarkEnd w:id="296"/>
    <w:bookmarkStart w:id="317" w:name="appendix-f---experiment-register"/>
    <w:p>
      <w:pPr>
        <w:pStyle w:val="Heading1"/>
      </w:pPr>
      <w:r>
        <w:t xml:space="preserve">Appendix F - Experiment register</w:t>
      </w:r>
    </w:p>
    <w:bookmarkStart w:id="297" w:name="f.1-n01---terrain-shape-versus-recency"/>
    <w:p>
      <w:pPr>
        <w:pStyle w:val="Heading2"/>
      </w:pPr>
      <w:r>
        <w:t xml:space="preserve">F.1 N01 - Terrain shape versus recency</w:t>
      </w:r>
    </w:p>
    <w:p>
      <w:pPr>
        <w:pStyle w:val="Compact"/>
        <w:numPr>
          <w:ilvl w:val="0"/>
          <w:numId w:val="1047"/>
        </w:numPr>
      </w:pPr>
      <w:r>
        <w:rPr>
          <w:b/>
          <w:bCs/>
        </w:rPr>
        <w:t xml:space="preserve">Design:</w:t>
      </w:r>
      <w:r>
        <w:t xml:space="preserve"> </w:t>
      </w:r>
      <w:r>
        <w:t xml:space="preserve">Older shape match versus recent mismatch</w:t>
      </w:r>
    </w:p>
    <w:p>
      <w:pPr>
        <w:pStyle w:val="Compact"/>
        <w:numPr>
          <w:ilvl w:val="0"/>
          <w:numId w:val="1047"/>
        </w:numPr>
      </w:pPr>
      <w:r>
        <w:rPr>
          <w:b/>
          <w:bCs/>
        </w:rPr>
        <w:t xml:space="preserve">Evidence lane:</w:t>
      </w:r>
      <w:r>
        <w:t xml:space="preserve"> </w:t>
      </w:r>
      <w:r>
        <w:t xml:space="preserve">Native synthetic</w:t>
      </w:r>
    </w:p>
    <w:p>
      <w:pPr>
        <w:pStyle w:val="Compact"/>
        <w:numPr>
          <w:ilvl w:val="0"/>
          <w:numId w:val="1047"/>
        </w:numPr>
      </w:pPr>
      <w:r>
        <w:rPr>
          <w:b/>
          <w:bCs/>
        </w:rPr>
        <w:t xml:space="preserve">Current result:</w:t>
      </w:r>
      <w:r>
        <w:t xml:space="preserve"> </w:t>
      </w:r>
      <w:r>
        <w:t xml:space="preserve">500 paired cases; 500 shape wins</w:t>
      </w:r>
    </w:p>
    <w:p>
      <w:pPr>
        <w:pStyle w:val="Compact"/>
        <w:numPr>
          <w:ilvl w:val="0"/>
          <w:numId w:val="1047"/>
        </w:numPr>
      </w:pPr>
      <w:r>
        <w:rPr>
          <w:b/>
          <w:bCs/>
        </w:rPr>
        <w:t xml:space="preserve">Boundary / next test:</w:t>
      </w:r>
      <w:r>
        <w:t xml:space="preserve"> </w:t>
      </w:r>
      <w:r>
        <w:t xml:space="preserve">Mechanism/policy verified; calibration open</w:t>
      </w:r>
    </w:p>
    <w:bookmarkEnd w:id="297"/>
    <w:bookmarkStart w:id="298" w:name="f.2-n02---suspension-symmetry"/>
    <w:p>
      <w:pPr>
        <w:pStyle w:val="Heading2"/>
      </w:pPr>
      <w:r>
        <w:t xml:space="preserve">F.2 N02 - Suspension symmetry</w:t>
      </w:r>
    </w:p>
    <w:p>
      <w:pPr>
        <w:pStyle w:val="Compact"/>
        <w:numPr>
          <w:ilvl w:val="0"/>
          <w:numId w:val="1048"/>
        </w:numPr>
      </w:pPr>
      <w:r>
        <w:rPr>
          <w:b/>
          <w:bCs/>
        </w:rPr>
        <w:t xml:space="preserve">Design:</w:t>
      </w:r>
      <w:r>
        <w:t xml:space="preserve"> </w:t>
      </w:r>
      <w:r>
        <w:t xml:space="preserve">Hold, review, declare, refuse under action/delay risk</w:t>
      </w:r>
    </w:p>
    <w:p>
      <w:pPr>
        <w:pStyle w:val="Compact"/>
        <w:numPr>
          <w:ilvl w:val="0"/>
          <w:numId w:val="1048"/>
        </w:numPr>
      </w:pPr>
      <w:r>
        <w:rPr>
          <w:b/>
          <w:bCs/>
        </w:rPr>
        <w:t xml:space="preserve">Evidence lane:</w:t>
      </w:r>
      <w:r>
        <w:t xml:space="preserve"> </w:t>
      </w:r>
      <w:r>
        <w:t xml:space="preserve">Native synthetic</w:t>
      </w:r>
    </w:p>
    <w:p>
      <w:pPr>
        <w:pStyle w:val="Compact"/>
        <w:numPr>
          <w:ilvl w:val="0"/>
          <w:numId w:val="1048"/>
        </w:numPr>
      </w:pPr>
      <w:r>
        <w:rPr>
          <w:b/>
          <w:bCs/>
        </w:rPr>
        <w:t xml:space="preserve">Current result:</w:t>
      </w:r>
      <w:r>
        <w:t xml:space="preserve"> </w:t>
      </w:r>
      <w:r>
        <w:t xml:space="preserve">1,200 frames; zero unauthorized declarations, zero nominal-agency declarations, zero expired indefinite holds</w:t>
      </w:r>
    </w:p>
    <w:p>
      <w:pPr>
        <w:pStyle w:val="Compact"/>
        <w:numPr>
          <w:ilvl w:val="0"/>
          <w:numId w:val="1048"/>
        </w:numPr>
      </w:pPr>
      <w:r>
        <w:rPr>
          <w:b/>
          <w:bCs/>
        </w:rPr>
        <w:t xml:space="preserve">Boundary / next test:</w:t>
      </w:r>
      <w:r>
        <w:t xml:space="preserve"> </w:t>
      </w:r>
      <w:r>
        <w:t xml:space="preserve">Code path verified; behavioral calibration open</w:t>
      </w:r>
    </w:p>
    <w:bookmarkEnd w:id="298"/>
    <w:bookmarkStart w:id="299" w:name="f.3-n03---hidden-dependency-repair"/>
    <w:p>
      <w:pPr>
        <w:pStyle w:val="Heading2"/>
      </w:pPr>
      <w:r>
        <w:t xml:space="preserve">F.3 N03 - Hidden dependency repair</w:t>
      </w:r>
    </w:p>
    <w:p>
      <w:pPr>
        <w:pStyle w:val="Compact"/>
        <w:numPr>
          <w:ilvl w:val="0"/>
          <w:numId w:val="1049"/>
        </w:numPr>
      </w:pPr>
      <w:r>
        <w:rPr>
          <w:b/>
          <w:bCs/>
        </w:rPr>
        <w:t xml:space="preserve">Design:</w:t>
      </w:r>
      <w:r>
        <w:t xml:space="preserve"> </w:t>
      </w:r>
      <w:r>
        <w:t xml:space="preserve">Injected hidden join and re-receipt</w:t>
      </w:r>
    </w:p>
    <w:p>
      <w:pPr>
        <w:pStyle w:val="Compact"/>
        <w:numPr>
          <w:ilvl w:val="0"/>
          <w:numId w:val="1049"/>
        </w:numPr>
      </w:pPr>
      <w:r>
        <w:rPr>
          <w:b/>
          <w:bCs/>
        </w:rPr>
        <w:t xml:space="preserve">Evidence lane:</w:t>
      </w:r>
      <w:r>
        <w:t xml:space="preserve"> </w:t>
      </w:r>
      <w:r>
        <w:t xml:space="preserve">Native synthetic</w:t>
      </w:r>
    </w:p>
    <w:p>
      <w:pPr>
        <w:pStyle w:val="Compact"/>
        <w:numPr>
          <w:ilvl w:val="0"/>
          <w:numId w:val="1049"/>
        </w:numPr>
      </w:pPr>
      <w:r>
        <w:rPr>
          <w:b/>
          <w:bCs/>
        </w:rPr>
        <w:t xml:space="preserve">Current result:</w:t>
      </w:r>
      <w:r>
        <w:t xml:space="preserve"> </w:t>
      </w:r>
      <w:r>
        <w:t xml:space="preserve">250 graphs; detection 1.0, repair stabilization 1.0</w:t>
      </w:r>
    </w:p>
    <w:p>
      <w:pPr>
        <w:pStyle w:val="Compact"/>
        <w:numPr>
          <w:ilvl w:val="0"/>
          <w:numId w:val="1049"/>
        </w:numPr>
      </w:pPr>
      <w:r>
        <w:rPr>
          <w:b/>
          <w:bCs/>
        </w:rPr>
        <w:t xml:space="preserve">Boundary / next test:</w:t>
      </w:r>
      <w:r>
        <w:t xml:space="preserve"> </w:t>
      </w:r>
      <w:r>
        <w:t xml:space="preserve">Generator-specific mechanism result</w:t>
      </w:r>
    </w:p>
    <w:bookmarkEnd w:id="299"/>
    <w:bookmarkStart w:id="300" w:name="f.4-n04---fable-mixture"/>
    <w:p>
      <w:pPr>
        <w:pStyle w:val="Heading2"/>
      </w:pPr>
      <w:r>
        <w:t xml:space="preserve">F.4 N04 - Fable mixture</w:t>
      </w:r>
    </w:p>
    <w:p>
      <w:pPr>
        <w:pStyle w:val="Compact"/>
        <w:numPr>
          <w:ilvl w:val="0"/>
          <w:numId w:val="1050"/>
        </w:numPr>
      </w:pPr>
      <w:r>
        <w:rPr>
          <w:b/>
          <w:bCs/>
        </w:rPr>
        <w:t xml:space="preserve">Design:</w:t>
      </w:r>
      <w:r>
        <w:t xml:space="preserve"> </w:t>
      </w:r>
      <w:r>
        <w:t xml:space="preserve">Random eight-dimensional queries</w:t>
      </w:r>
    </w:p>
    <w:p>
      <w:pPr>
        <w:pStyle w:val="Compact"/>
        <w:numPr>
          <w:ilvl w:val="0"/>
          <w:numId w:val="1050"/>
        </w:numPr>
      </w:pPr>
      <w:r>
        <w:rPr>
          <w:b/>
          <w:bCs/>
        </w:rPr>
        <w:t xml:space="preserve">Evidence lane:</w:t>
      </w:r>
      <w:r>
        <w:t xml:space="preserve"> </w:t>
      </w:r>
      <w:r>
        <w:t xml:space="preserve">Native synthetic/component</w:t>
      </w:r>
    </w:p>
    <w:p>
      <w:pPr>
        <w:pStyle w:val="Compact"/>
        <w:numPr>
          <w:ilvl w:val="0"/>
          <w:numId w:val="1050"/>
        </w:numPr>
      </w:pPr>
      <w:r>
        <w:rPr>
          <w:b/>
          <w:bCs/>
        </w:rPr>
        <w:t xml:space="preserve">Current result:</w:t>
      </w:r>
      <w:r>
        <w:t xml:space="preserve"> </w:t>
      </w:r>
      <w:r>
        <w:t xml:space="preserve">1,000 trials; mean max weight 0.601; inversion 0.258</w:t>
      </w:r>
    </w:p>
    <w:p>
      <w:pPr>
        <w:pStyle w:val="Compact"/>
        <w:numPr>
          <w:ilvl w:val="0"/>
          <w:numId w:val="1050"/>
        </w:numPr>
      </w:pPr>
      <w:r>
        <w:rPr>
          <w:b/>
          <w:bCs/>
        </w:rPr>
        <w:t xml:space="preserve">Boundary / next test:</w:t>
      </w:r>
      <w:r>
        <w:t xml:space="preserve"> </w:t>
      </w:r>
      <w:r>
        <w:t xml:space="preserve">No human causal effect inferred</w:t>
      </w:r>
    </w:p>
    <w:bookmarkEnd w:id="300"/>
    <w:bookmarkStart w:id="301" w:name="f.5-n05---biome-cohorts"/>
    <w:p>
      <w:pPr>
        <w:pStyle w:val="Heading2"/>
      </w:pPr>
      <w:r>
        <w:t xml:space="preserve">F.5 N05 - Biome cohorts</w:t>
      </w:r>
    </w:p>
    <w:p>
      <w:pPr>
        <w:pStyle w:val="Compact"/>
        <w:numPr>
          <w:ilvl w:val="0"/>
          <w:numId w:val="1051"/>
        </w:numPr>
      </w:pPr>
      <w:r>
        <w:rPr>
          <w:b/>
          <w:bCs/>
        </w:rPr>
        <w:t xml:space="preserve">Design:</w:t>
      </w:r>
      <w:r>
        <w:t xml:space="preserve"> </w:t>
      </w:r>
      <w:r>
        <w:t xml:space="preserve">Four-act fifty-cycle cohorts</w:t>
      </w:r>
    </w:p>
    <w:p>
      <w:pPr>
        <w:pStyle w:val="Compact"/>
        <w:numPr>
          <w:ilvl w:val="0"/>
          <w:numId w:val="1051"/>
        </w:numPr>
      </w:pPr>
      <w:r>
        <w:rPr>
          <w:b/>
          <w:bCs/>
        </w:rPr>
        <w:t xml:space="preserve">Evidence lane:</w:t>
      </w:r>
      <w:r>
        <w:t xml:space="preserve"> </w:t>
      </w:r>
      <w:r>
        <w:t xml:space="preserve">Native synthetic</w:t>
      </w:r>
    </w:p>
    <w:p>
      <w:pPr>
        <w:pStyle w:val="Compact"/>
        <w:numPr>
          <w:ilvl w:val="0"/>
          <w:numId w:val="1051"/>
        </w:numPr>
      </w:pPr>
      <w:r>
        <w:rPr>
          <w:b/>
          <w:bCs/>
        </w:rPr>
        <w:t xml:space="preserve">Current result:</w:t>
      </w:r>
      <w:r>
        <w:t xml:space="preserve"> </w:t>
      </w:r>
      <w:r>
        <w:t xml:space="preserve">32 cohorts; no encoded invariant-failure cohort</w:t>
      </w:r>
    </w:p>
    <w:p>
      <w:pPr>
        <w:pStyle w:val="Compact"/>
        <w:numPr>
          <w:ilvl w:val="0"/>
          <w:numId w:val="1051"/>
        </w:numPr>
      </w:pPr>
      <w:r>
        <w:rPr>
          <w:b/>
          <w:bCs/>
        </w:rPr>
        <w:t xml:space="preserve">Boundary / next test:</w:t>
      </w:r>
      <w:r>
        <w:t xml:space="preserve"> </w:t>
      </w:r>
      <w:r>
        <w:t xml:space="preserve">Physics execution verified; thresholds provisional</w:t>
      </w:r>
    </w:p>
    <w:bookmarkEnd w:id="301"/>
    <w:bookmarkStart w:id="302" w:name="f.6-n06---hunger"/>
    <w:p>
      <w:pPr>
        <w:pStyle w:val="Heading2"/>
      </w:pPr>
      <w:r>
        <w:t xml:space="preserve">F.6 N06 - HUNGER</w:t>
      </w:r>
    </w:p>
    <w:p>
      <w:pPr>
        <w:pStyle w:val="Compact"/>
        <w:numPr>
          <w:ilvl w:val="0"/>
          <w:numId w:val="1052"/>
        </w:numPr>
      </w:pPr>
      <w:r>
        <w:rPr>
          <w:b/>
          <w:bCs/>
        </w:rPr>
        <w:t xml:space="preserve">Design:</w:t>
      </w:r>
      <w:r>
        <w:t xml:space="preserve"> </w:t>
      </w:r>
      <w:r>
        <w:t xml:space="preserve">Symbolic and substrate strategies under scarcity</w:t>
      </w:r>
    </w:p>
    <w:p>
      <w:pPr>
        <w:pStyle w:val="Compact"/>
        <w:numPr>
          <w:ilvl w:val="0"/>
          <w:numId w:val="1052"/>
        </w:numPr>
      </w:pPr>
      <w:r>
        <w:rPr>
          <w:b/>
          <w:bCs/>
        </w:rPr>
        <w:t xml:space="preserve">Evidence lane:</w:t>
      </w:r>
      <w:r>
        <w:t xml:space="preserve"> </w:t>
      </w:r>
      <w:r>
        <w:t xml:space="preserve">Native synthetic</w:t>
      </w:r>
    </w:p>
    <w:p>
      <w:pPr>
        <w:pStyle w:val="Compact"/>
        <w:numPr>
          <w:ilvl w:val="0"/>
          <w:numId w:val="1052"/>
        </w:numPr>
      </w:pPr>
      <w:r>
        <w:rPr>
          <w:b/>
          <w:bCs/>
        </w:rPr>
        <w:t xml:space="preserve">Current result:</w:t>
      </w:r>
      <w:r>
        <w:t xml:space="preserve"> </w:t>
      </w:r>
      <w:r>
        <w:t xml:space="preserve">64 seeds; substrate normalized efficiency exceeded symbolic in all runs</w:t>
      </w:r>
    </w:p>
    <w:p>
      <w:pPr>
        <w:pStyle w:val="Compact"/>
        <w:numPr>
          <w:ilvl w:val="0"/>
          <w:numId w:val="1052"/>
        </w:numPr>
      </w:pPr>
      <w:r>
        <w:rPr>
          <w:b/>
          <w:bCs/>
        </w:rPr>
        <w:t xml:space="preserve">Boundary / next test:</w:t>
      </w:r>
      <w:r>
        <w:t xml:space="preserve"> </w:t>
      </w:r>
      <w:r>
        <w:t xml:space="preserve">Accounting-specific result</w:t>
      </w:r>
    </w:p>
    <w:bookmarkEnd w:id="302"/>
    <w:bookmarkStart w:id="303" w:name="f.7-n07---economy-membranes"/>
    <w:p>
      <w:pPr>
        <w:pStyle w:val="Heading2"/>
      </w:pPr>
      <w:r>
        <w:t xml:space="preserve">F.7 N07 - Economy membranes</w:t>
      </w:r>
    </w:p>
    <w:p>
      <w:pPr>
        <w:pStyle w:val="Compact"/>
        <w:numPr>
          <w:ilvl w:val="0"/>
          <w:numId w:val="1053"/>
        </w:numPr>
      </w:pPr>
      <w:r>
        <w:rPr>
          <w:b/>
          <w:bCs/>
        </w:rPr>
        <w:t xml:space="preserve">Design:</w:t>
      </w:r>
      <w:r>
        <w:t xml:space="preserve"> </w:t>
      </w:r>
      <w:r>
        <w:t xml:space="preserve">Aesop, shadow, cadence, pricing selftests</w:t>
      </w:r>
    </w:p>
    <w:p>
      <w:pPr>
        <w:pStyle w:val="Compact"/>
        <w:numPr>
          <w:ilvl w:val="0"/>
          <w:numId w:val="1053"/>
        </w:numPr>
      </w:pPr>
      <w:r>
        <w:rPr>
          <w:b/>
          <w:bCs/>
        </w:rPr>
        <w:t xml:space="preserve">Evidence lane:</w:t>
      </w:r>
      <w:r>
        <w:t xml:space="preserve"> </w:t>
      </w:r>
      <w:r>
        <w:t xml:space="preserve">Component</w:t>
      </w:r>
    </w:p>
    <w:p>
      <w:pPr>
        <w:pStyle w:val="Compact"/>
        <w:numPr>
          <w:ilvl w:val="0"/>
          <w:numId w:val="1053"/>
        </w:numPr>
      </w:pPr>
      <w:r>
        <w:rPr>
          <w:b/>
          <w:bCs/>
        </w:rPr>
        <w:t xml:space="preserve">Current result:</w:t>
      </w:r>
      <w:r>
        <w:t xml:space="preserve"> </w:t>
      </w:r>
      <w:r>
        <w:t xml:space="preserve">4/4 selftests pass</w:t>
      </w:r>
    </w:p>
    <w:p>
      <w:pPr>
        <w:pStyle w:val="Compact"/>
        <w:numPr>
          <w:ilvl w:val="0"/>
          <w:numId w:val="1053"/>
        </w:numPr>
      </w:pPr>
      <w:r>
        <w:rPr>
          <w:b/>
          <w:bCs/>
        </w:rPr>
        <w:t xml:space="preserve">Boundary / next test:</w:t>
      </w:r>
      <w:r>
        <w:t xml:space="preserve"> </w:t>
      </w:r>
      <w:r>
        <w:t xml:space="preserve">Environment-bound component verification</w:t>
      </w:r>
    </w:p>
    <w:bookmarkEnd w:id="303"/>
    <w:bookmarkStart w:id="304" w:name="f.8-e01---golden-hall-agency-capture"/>
    <w:p>
      <w:pPr>
        <w:pStyle w:val="Heading2"/>
      </w:pPr>
      <w:r>
        <w:t xml:space="preserve">F.8 E01 - Golden Hall agency capture</w:t>
      </w:r>
    </w:p>
    <w:p>
      <w:pPr>
        <w:pStyle w:val="Compact"/>
        <w:numPr>
          <w:ilvl w:val="0"/>
          <w:numId w:val="1054"/>
        </w:numPr>
      </w:pPr>
      <w:r>
        <w:rPr>
          <w:b/>
          <w:bCs/>
        </w:rPr>
        <w:t xml:space="preserve">Design:</w:t>
      </w:r>
      <w:r>
        <w:t xml:space="preserve"> </w:t>
      </w:r>
      <w:r>
        <w:t xml:space="preserve">Point, branch, rationale, challenge interfaces</w:t>
      </w:r>
    </w:p>
    <w:p>
      <w:pPr>
        <w:pStyle w:val="Compact"/>
        <w:numPr>
          <w:ilvl w:val="0"/>
          <w:numId w:val="1054"/>
        </w:numPr>
      </w:pPr>
      <w:r>
        <w:rPr>
          <w:b/>
          <w:bCs/>
        </w:rPr>
        <w:t xml:space="preserve">Evidence lane:</w:t>
      </w:r>
      <w:r>
        <w:t xml:space="preserve"> </w:t>
      </w:r>
      <w:r>
        <w:t xml:space="preserve">Synthetic pilot</w:t>
      </w:r>
    </w:p>
    <w:p>
      <w:pPr>
        <w:pStyle w:val="Compact"/>
        <w:numPr>
          <w:ilvl w:val="0"/>
          <w:numId w:val="1054"/>
        </w:numPr>
      </w:pPr>
      <w:r>
        <w:rPr>
          <w:b/>
          <w:bCs/>
        </w:rPr>
        <w:t xml:space="preserve">Current result:</w:t>
      </w:r>
      <w:r>
        <w:t xml:space="preserve"> </w:t>
      </w:r>
      <w:r>
        <w:t xml:space="preserve">Branch increased inspection and challenge and added time; no-AI had best lawful closure</w:t>
      </w:r>
    </w:p>
    <w:p>
      <w:pPr>
        <w:pStyle w:val="Compact"/>
        <w:numPr>
          <w:ilvl w:val="0"/>
          <w:numId w:val="1054"/>
        </w:numPr>
      </w:pPr>
      <w:r>
        <w:rPr>
          <w:b/>
          <w:bCs/>
        </w:rPr>
        <w:t xml:space="preserve">Boundary / next test:</w:t>
      </w:r>
      <w:r>
        <w:t xml:space="preserve"> </w:t>
      </w:r>
      <w:r>
        <w:t xml:space="preserve">Human study required</w:t>
      </w:r>
    </w:p>
    <w:bookmarkEnd w:id="304"/>
    <w:bookmarkStart w:id="305" w:name="f.9-e02---fable-splat-terrain-shift"/>
    <w:p>
      <w:pPr>
        <w:pStyle w:val="Heading2"/>
      </w:pPr>
      <w:r>
        <w:t xml:space="preserve">F.9 E02 - Fable-splat terrain shift</w:t>
      </w:r>
    </w:p>
    <w:p>
      <w:pPr>
        <w:pStyle w:val="Compact"/>
        <w:numPr>
          <w:ilvl w:val="0"/>
          <w:numId w:val="1055"/>
        </w:numPr>
      </w:pPr>
      <w:r>
        <w:rPr>
          <w:b/>
          <w:bCs/>
        </w:rPr>
        <w:t xml:space="preserve">Design:</w:t>
      </w:r>
      <w:r>
        <w:t xml:space="preserve"> </w:t>
      </w:r>
      <w:r>
        <w:t xml:space="preserve">Fable, plain, neutral, misleading frames</w:t>
      </w:r>
    </w:p>
    <w:p>
      <w:pPr>
        <w:pStyle w:val="Compact"/>
        <w:numPr>
          <w:ilvl w:val="0"/>
          <w:numId w:val="1055"/>
        </w:numPr>
      </w:pPr>
      <w:r>
        <w:rPr>
          <w:b/>
          <w:bCs/>
        </w:rPr>
        <w:t xml:space="preserve">Evidence lane:</w:t>
      </w:r>
      <w:r>
        <w:t xml:space="preserve"> </w:t>
      </w:r>
      <w:r>
        <w:t xml:space="preserve">Synthetic pilot</w:t>
      </w:r>
    </w:p>
    <w:p>
      <w:pPr>
        <w:pStyle w:val="Compact"/>
        <w:numPr>
          <w:ilvl w:val="0"/>
          <w:numId w:val="1055"/>
        </w:numPr>
      </w:pPr>
      <w:r>
        <w:rPr>
          <w:b/>
          <w:bCs/>
        </w:rPr>
        <w:t xml:space="preserve">Current result:</w:t>
      </w:r>
      <w:r>
        <w:t xml:space="preserve"> </w:t>
      </w:r>
      <w:r>
        <w:t xml:space="preserve">Observer and authority shifts; misleading frame increased overcaution</w:t>
      </w:r>
    </w:p>
    <w:p>
      <w:pPr>
        <w:pStyle w:val="Compact"/>
        <w:numPr>
          <w:ilvl w:val="0"/>
          <w:numId w:val="1055"/>
        </w:numPr>
      </w:pPr>
      <w:r>
        <w:rPr>
          <w:b/>
          <w:bCs/>
        </w:rPr>
        <w:t xml:space="preserve">Boundary / next test:</w:t>
      </w:r>
      <w:r>
        <w:t xml:space="preserve"> </w:t>
      </w:r>
      <w:r>
        <w:t xml:space="preserve">No universal narrative primitive inferred</w:t>
      </w:r>
    </w:p>
    <w:bookmarkEnd w:id="305"/>
    <w:bookmarkStart w:id="306" w:name="f.10-e03---observer-indexed-carrier"/>
    <w:p>
      <w:pPr>
        <w:pStyle w:val="Heading2"/>
      </w:pPr>
      <w:r>
        <w:t xml:space="preserve">F.10 E03 - Observer-indexed carrier</w:t>
      </w:r>
    </w:p>
    <w:p>
      <w:pPr>
        <w:pStyle w:val="Compact"/>
        <w:numPr>
          <w:ilvl w:val="0"/>
          <w:numId w:val="1056"/>
        </w:numPr>
      </w:pPr>
      <w:r>
        <w:rPr>
          <w:b/>
          <w:bCs/>
        </w:rPr>
        <w:t xml:space="preserve">Design:</w:t>
      </w:r>
      <w:r>
        <w:t xml:space="preserve"> </w:t>
      </w:r>
      <w:r>
        <w:t xml:space="preserve">Cooperative human-like and machine-like decoding</w:t>
      </w:r>
    </w:p>
    <w:p>
      <w:pPr>
        <w:pStyle w:val="Compact"/>
        <w:numPr>
          <w:ilvl w:val="0"/>
          <w:numId w:val="1056"/>
        </w:numPr>
      </w:pPr>
      <w:r>
        <w:rPr>
          <w:b/>
          <w:bCs/>
        </w:rPr>
        <w:t xml:space="preserve">Evidence lane:</w:t>
      </w:r>
      <w:r>
        <w:t xml:space="preserve"> </w:t>
      </w:r>
      <w:r>
        <w:t xml:space="preserve">Synthetic pilot</w:t>
      </w:r>
    </w:p>
    <w:p>
      <w:pPr>
        <w:pStyle w:val="Compact"/>
        <w:numPr>
          <w:ilvl w:val="0"/>
          <w:numId w:val="1056"/>
        </w:numPr>
      </w:pPr>
      <w:r>
        <w:rPr>
          <w:b/>
          <w:bCs/>
        </w:rPr>
        <w:t xml:space="preserve">Current result:</w:t>
      </w:r>
      <w:r>
        <w:t xml:space="preserve"> </w:t>
      </w:r>
      <w:r>
        <w:t xml:space="preserve">Human surrogate 1.0; machine approximately 0.504 across full envelope</w:t>
      </w:r>
    </w:p>
    <w:p>
      <w:pPr>
        <w:pStyle w:val="Compact"/>
        <w:numPr>
          <w:ilvl w:val="0"/>
          <w:numId w:val="1056"/>
        </w:numPr>
      </w:pPr>
      <w:r>
        <w:rPr>
          <w:b/>
          <w:bCs/>
        </w:rPr>
        <w:t xml:space="preserve">Boundary / next test:</w:t>
      </w:r>
      <w:r>
        <w:t xml:space="preserve"> </w:t>
      </w:r>
      <w:r>
        <w:t xml:space="preserve">Physical carrier claim remains open</w:t>
      </w:r>
    </w:p>
    <w:bookmarkEnd w:id="306"/>
    <w:bookmarkStart w:id="307" w:name="f.11-e04---multimodal-disagreement"/>
    <w:p>
      <w:pPr>
        <w:pStyle w:val="Heading2"/>
      </w:pPr>
      <w:r>
        <w:t xml:space="preserve">F.11 E04 - Multimodal disagreement</w:t>
      </w:r>
    </w:p>
    <w:p>
      <w:pPr>
        <w:pStyle w:val="Compact"/>
        <w:numPr>
          <w:ilvl w:val="0"/>
          <w:numId w:val="1057"/>
        </w:numPr>
      </w:pPr>
      <w:r>
        <w:rPr>
          <w:b/>
          <w:bCs/>
        </w:rPr>
        <w:t xml:space="preserve">Design:</w:t>
      </w:r>
      <w:r>
        <w:t xml:space="preserve"> </w:t>
      </w:r>
      <w:r>
        <w:t xml:space="preserve">Early fusion versus lane preservation</w:t>
      </w:r>
    </w:p>
    <w:p>
      <w:pPr>
        <w:pStyle w:val="Compact"/>
        <w:numPr>
          <w:ilvl w:val="0"/>
          <w:numId w:val="1057"/>
        </w:numPr>
      </w:pPr>
      <w:r>
        <w:rPr>
          <w:b/>
          <w:bCs/>
        </w:rPr>
        <w:t xml:space="preserve">Evidence lane:</w:t>
      </w:r>
      <w:r>
        <w:t xml:space="preserve"> </w:t>
      </w:r>
      <w:r>
        <w:t xml:space="preserve">Synthetic pilot</w:t>
      </w:r>
    </w:p>
    <w:p>
      <w:pPr>
        <w:pStyle w:val="Compact"/>
        <w:numPr>
          <w:ilvl w:val="0"/>
          <w:numId w:val="1057"/>
        </w:numPr>
      </w:pPr>
      <w:r>
        <w:rPr>
          <w:b/>
          <w:bCs/>
        </w:rPr>
        <w:t xml:space="preserve">Current result:</w:t>
      </w:r>
      <w:r>
        <w:t xml:space="preserve"> </w:t>
      </w:r>
      <w:r>
        <w:t xml:space="preserve">Premature closure fell; missed warranted and correction cost rose</w:t>
      </w:r>
    </w:p>
    <w:p>
      <w:pPr>
        <w:pStyle w:val="Compact"/>
        <w:numPr>
          <w:ilvl w:val="0"/>
          <w:numId w:val="1057"/>
        </w:numPr>
      </w:pPr>
      <w:r>
        <w:rPr>
          <w:b/>
          <w:bCs/>
        </w:rPr>
        <w:t xml:space="preserve">Boundary / next test:</w:t>
      </w:r>
      <w:r>
        <w:t xml:space="preserve"> </w:t>
      </w:r>
      <w:r>
        <w:t xml:space="preserve">Responsibility calibration required</w:t>
      </w:r>
    </w:p>
    <w:bookmarkEnd w:id="307"/>
    <w:bookmarkStart w:id="308" w:name="f.12-e05---temporal-alignment"/>
    <w:p>
      <w:pPr>
        <w:pStyle w:val="Heading2"/>
      </w:pPr>
      <w:r>
        <w:t xml:space="preserve">F.12 E05 - Temporal alignment</w:t>
      </w:r>
    </w:p>
    <w:p>
      <w:pPr>
        <w:pStyle w:val="Compact"/>
        <w:numPr>
          <w:ilvl w:val="0"/>
          <w:numId w:val="1058"/>
        </w:numPr>
      </w:pPr>
      <w:r>
        <w:rPr>
          <w:b/>
          <w:bCs/>
        </w:rPr>
        <w:t xml:space="preserve">Design:</w:t>
      </w:r>
      <w:r>
        <w:t xml:space="preserve"> </w:t>
      </w:r>
      <w:r>
        <w:t xml:space="preserve">Hidden time, timestamps, alignment sets</w:t>
      </w:r>
    </w:p>
    <w:p>
      <w:pPr>
        <w:pStyle w:val="Compact"/>
        <w:numPr>
          <w:ilvl w:val="0"/>
          <w:numId w:val="1058"/>
        </w:numPr>
      </w:pPr>
      <w:r>
        <w:rPr>
          <w:b/>
          <w:bCs/>
        </w:rPr>
        <w:t xml:space="preserve">Evidence lane:</w:t>
      </w:r>
      <w:r>
        <w:t xml:space="preserve"> </w:t>
      </w:r>
      <w:r>
        <w:t xml:space="preserve">Synthetic pilot</w:t>
      </w:r>
    </w:p>
    <w:p>
      <w:pPr>
        <w:pStyle w:val="Compact"/>
        <w:numPr>
          <w:ilvl w:val="0"/>
          <w:numId w:val="1058"/>
        </w:numPr>
      </w:pPr>
      <w:r>
        <w:rPr>
          <w:b/>
          <w:bCs/>
        </w:rPr>
        <w:t xml:space="preserve">Current result:</w:t>
      </w:r>
      <w:r>
        <w:t xml:space="preserve"> </w:t>
      </w:r>
      <w:r>
        <w:t xml:space="preserve">Time metadata reduced skew; no universal performance dominance</w:t>
      </w:r>
    </w:p>
    <w:p>
      <w:pPr>
        <w:pStyle w:val="Compact"/>
        <w:numPr>
          <w:ilvl w:val="0"/>
          <w:numId w:val="1058"/>
        </w:numPr>
      </w:pPr>
      <w:r>
        <w:rPr>
          <w:b/>
          <w:bCs/>
        </w:rPr>
        <w:t xml:space="preserve">Boundary / next test:</w:t>
      </w:r>
      <w:r>
        <w:t xml:space="preserve"> </w:t>
      </w:r>
      <w:r>
        <w:t xml:space="preserve">Hardware timing studies required</w:t>
      </w:r>
    </w:p>
    <w:bookmarkEnd w:id="308"/>
    <w:bookmarkStart w:id="309" w:name="f.13-e06---dag-correction-fan-out"/>
    <w:p>
      <w:pPr>
        <w:pStyle w:val="Heading2"/>
      </w:pPr>
      <w:r>
        <w:t xml:space="preserve">F.13 E06 - DAG correction fan-out</w:t>
      </w:r>
    </w:p>
    <w:p>
      <w:pPr>
        <w:pStyle w:val="Compact"/>
        <w:numPr>
          <w:ilvl w:val="0"/>
          <w:numId w:val="1059"/>
        </w:numPr>
      </w:pPr>
      <w:r>
        <w:rPr>
          <w:b/>
          <w:bCs/>
        </w:rPr>
        <w:t xml:space="preserve">Design:</w:t>
      </w:r>
      <w:r>
        <w:t xml:space="preserve"> </w:t>
      </w:r>
      <w:r>
        <w:t xml:space="preserve">Manual, rebuild, and dependency-aware methods</w:t>
      </w:r>
    </w:p>
    <w:p>
      <w:pPr>
        <w:pStyle w:val="Compact"/>
        <w:numPr>
          <w:ilvl w:val="0"/>
          <w:numId w:val="1059"/>
        </w:numPr>
      </w:pPr>
      <w:r>
        <w:rPr>
          <w:b/>
          <w:bCs/>
        </w:rPr>
        <w:t xml:space="preserve">Evidence lane:</w:t>
      </w:r>
      <w:r>
        <w:t xml:space="preserve"> </w:t>
      </w:r>
      <w:r>
        <w:t xml:space="preserve">Synthetic pilot</w:t>
      </w:r>
    </w:p>
    <w:p>
      <w:pPr>
        <w:pStyle w:val="Compact"/>
        <w:numPr>
          <w:ilvl w:val="0"/>
          <w:numId w:val="1059"/>
        </w:numPr>
      </w:pPr>
      <w:r>
        <w:rPr>
          <w:b/>
          <w:bCs/>
        </w:rPr>
        <w:t xml:space="preserve">Current result:</w:t>
      </w:r>
      <w:r>
        <w:t xml:space="preserve"> </w:t>
      </w:r>
      <w:r>
        <w:t xml:space="preserve">Completeness +0.644 and residue -0.259 versus manual</w:t>
      </w:r>
    </w:p>
    <w:p>
      <w:pPr>
        <w:pStyle w:val="Compact"/>
        <w:numPr>
          <w:ilvl w:val="0"/>
          <w:numId w:val="1059"/>
        </w:numPr>
      </w:pPr>
      <w:r>
        <w:rPr>
          <w:b/>
          <w:bCs/>
        </w:rPr>
        <w:t xml:space="preserve">Boundary / next test:</w:t>
      </w:r>
      <w:r>
        <w:t xml:space="preserve"> </w:t>
      </w:r>
      <w:r>
        <w:t xml:space="preserve">Hidden dependencies remain boundary</w:t>
      </w:r>
    </w:p>
    <w:bookmarkEnd w:id="309"/>
    <w:bookmarkStart w:id="310" w:name="f.14-e07---authority-separation"/>
    <w:p>
      <w:pPr>
        <w:pStyle w:val="Heading2"/>
      </w:pPr>
      <w:r>
        <w:t xml:space="preserve">F.14 E07 - Authority separation</w:t>
      </w:r>
    </w:p>
    <w:p>
      <w:pPr>
        <w:pStyle w:val="Compact"/>
        <w:numPr>
          <w:ilvl w:val="0"/>
          <w:numId w:val="1060"/>
        </w:numPr>
      </w:pPr>
      <w:r>
        <w:rPr>
          <w:b/>
          <w:bCs/>
        </w:rPr>
        <w:t xml:space="preserve">Design:</w:t>
      </w:r>
      <w:r>
        <w:t xml:space="preserve"> </w:t>
      </w:r>
      <w:r>
        <w:t xml:space="preserve">Unified, hardened, separated architectures</w:t>
      </w:r>
    </w:p>
    <w:p>
      <w:pPr>
        <w:pStyle w:val="Compact"/>
        <w:numPr>
          <w:ilvl w:val="0"/>
          <w:numId w:val="1060"/>
        </w:numPr>
      </w:pPr>
      <w:r>
        <w:rPr>
          <w:b/>
          <w:bCs/>
        </w:rPr>
        <w:t xml:space="preserve">Evidence lane:</w:t>
      </w:r>
      <w:r>
        <w:t xml:space="preserve"> </w:t>
      </w:r>
      <w:r>
        <w:t xml:space="preserve">Software Monte Carlo</w:t>
      </w:r>
    </w:p>
    <w:p>
      <w:pPr>
        <w:pStyle w:val="Compact"/>
        <w:numPr>
          <w:ilvl w:val="0"/>
          <w:numId w:val="1060"/>
        </w:numPr>
      </w:pPr>
      <w:r>
        <w:rPr>
          <w:b/>
          <w:bCs/>
        </w:rPr>
        <w:t xml:space="preserve">Current result:</w:t>
      </w:r>
      <w:r>
        <w:t xml:space="preserve"> </w:t>
      </w:r>
      <w:r>
        <w:t xml:space="preserve">Unauthorized -0.136 and contamination -0.123 versus unified; availability cost</w:t>
      </w:r>
    </w:p>
    <w:p>
      <w:pPr>
        <w:pStyle w:val="Compact"/>
        <w:numPr>
          <w:ilvl w:val="0"/>
          <w:numId w:val="1060"/>
        </w:numPr>
      </w:pPr>
      <w:r>
        <w:rPr>
          <w:b/>
          <w:bCs/>
        </w:rPr>
        <w:t xml:space="preserve">Boundary / next test:</w:t>
      </w:r>
      <w:r>
        <w:t xml:space="preserve"> </w:t>
      </w:r>
      <w:r>
        <w:t xml:space="preserve">Physical isolation not established</w:t>
      </w:r>
    </w:p>
    <w:bookmarkEnd w:id="310"/>
    <w:bookmarkStart w:id="311" w:name="f.15-e08---configuration-aware-assurance"/>
    <w:p>
      <w:pPr>
        <w:pStyle w:val="Heading2"/>
      </w:pPr>
      <w:r>
        <w:t xml:space="preserve">F.15 E08 - Configuration-aware assurance</w:t>
      </w:r>
    </w:p>
    <w:p>
      <w:pPr>
        <w:pStyle w:val="Compact"/>
        <w:numPr>
          <w:ilvl w:val="0"/>
          <w:numId w:val="1061"/>
        </w:numPr>
      </w:pPr>
      <w:r>
        <w:rPr>
          <w:b/>
          <w:bCs/>
        </w:rPr>
        <w:t xml:space="preserve">Design:</w:t>
      </w:r>
      <w:r>
        <w:t xml:space="preserve"> </w:t>
      </w:r>
      <w:r>
        <w:t xml:space="preserve">Full retest, manual reuse, graph reuse</w:t>
      </w:r>
    </w:p>
    <w:p>
      <w:pPr>
        <w:pStyle w:val="Compact"/>
        <w:numPr>
          <w:ilvl w:val="0"/>
          <w:numId w:val="1061"/>
        </w:numPr>
      </w:pPr>
      <w:r>
        <w:rPr>
          <w:b/>
          <w:bCs/>
        </w:rPr>
        <w:t xml:space="preserve">Evidence lane:</w:t>
      </w:r>
      <w:r>
        <w:t xml:space="preserve"> </w:t>
      </w:r>
      <w:r>
        <w:t xml:space="preserve">Synthetic economics</w:t>
      </w:r>
    </w:p>
    <w:p>
      <w:pPr>
        <w:pStyle w:val="Compact"/>
        <w:numPr>
          <w:ilvl w:val="0"/>
          <w:numId w:val="1061"/>
        </w:numPr>
      </w:pPr>
      <w:r>
        <w:rPr>
          <w:b/>
          <w:bCs/>
        </w:rPr>
        <w:t xml:space="preserve">Current result:</w:t>
      </w:r>
      <w:r>
        <w:t xml:space="preserve"> </w:t>
      </w:r>
      <w:r>
        <w:t xml:space="preserve">Time and cost reductions; escaped-defect increase under incomplete graph</w:t>
      </w:r>
    </w:p>
    <w:p>
      <w:pPr>
        <w:pStyle w:val="Compact"/>
        <w:numPr>
          <w:ilvl w:val="0"/>
          <w:numId w:val="1061"/>
        </w:numPr>
      </w:pPr>
      <w:r>
        <w:rPr>
          <w:b/>
          <w:bCs/>
        </w:rPr>
        <w:t xml:space="preserve">Boundary / next test:</w:t>
      </w:r>
      <w:r>
        <w:t xml:space="preserve"> </w:t>
      </w:r>
      <w:r>
        <w:t xml:space="preserve">Customer evidence required</w:t>
      </w:r>
    </w:p>
    <w:bookmarkEnd w:id="311"/>
    <w:bookmarkStart w:id="312" w:name="f.16-p10---integrated-forked-stack"/>
    <w:p>
      <w:pPr>
        <w:pStyle w:val="Heading2"/>
      </w:pPr>
      <w:r>
        <w:t xml:space="preserve">F.16 P10 - Integrated FORKED stack</w:t>
      </w:r>
    </w:p>
    <w:p>
      <w:pPr>
        <w:pStyle w:val="Compact"/>
        <w:numPr>
          <w:ilvl w:val="0"/>
          <w:numId w:val="1062"/>
        </w:numPr>
      </w:pPr>
      <w:r>
        <w:rPr>
          <w:b/>
          <w:bCs/>
        </w:rPr>
        <w:t xml:space="preserve">Design:</w:t>
      </w:r>
      <w:r>
        <w:t xml:space="preserve"> </w:t>
      </w:r>
      <w:r>
        <w:t xml:space="preserve">Compound-fault scenarios</w:t>
      </w:r>
    </w:p>
    <w:p>
      <w:pPr>
        <w:pStyle w:val="Compact"/>
        <w:numPr>
          <w:ilvl w:val="0"/>
          <w:numId w:val="1062"/>
        </w:numPr>
      </w:pPr>
      <w:r>
        <w:rPr>
          <w:b/>
          <w:bCs/>
        </w:rPr>
        <w:t xml:space="preserve">Evidence lane:</w:t>
      </w:r>
      <w:r>
        <w:t xml:space="preserve"> </w:t>
      </w:r>
      <w:r>
        <w:t xml:space="preserve">Integrated synthetic</w:t>
      </w:r>
    </w:p>
    <w:p>
      <w:pPr>
        <w:pStyle w:val="Compact"/>
        <w:numPr>
          <w:ilvl w:val="0"/>
          <w:numId w:val="1062"/>
        </w:numPr>
      </w:pPr>
      <w:r>
        <w:rPr>
          <w:b/>
          <w:bCs/>
        </w:rPr>
        <w:t xml:space="preserve">Current result:</w:t>
      </w:r>
      <w:r>
        <w:t xml:space="preserve"> </w:t>
      </w:r>
      <w:r>
        <w:t xml:space="preserve">Utility and lawful closure improved; availability fell; over-governed stack worse in low fault</w:t>
      </w:r>
    </w:p>
    <w:p>
      <w:pPr>
        <w:pStyle w:val="Compact"/>
        <w:numPr>
          <w:ilvl w:val="0"/>
          <w:numId w:val="1062"/>
        </w:numPr>
      </w:pPr>
      <w:r>
        <w:rPr>
          <w:b/>
          <w:bCs/>
        </w:rPr>
        <w:t xml:space="preserve">Boundary / next test:</w:t>
      </w:r>
      <w:r>
        <w:t xml:space="preserve"> </w:t>
      </w:r>
      <w:r>
        <w:t xml:space="preserve">No field performance claim</w:t>
      </w:r>
    </w:p>
    <w:bookmarkEnd w:id="312"/>
    <w:bookmarkStart w:id="313" w:name="f.17-r01---lattice-bound-language"/>
    <w:p>
      <w:pPr>
        <w:pStyle w:val="Heading2"/>
      </w:pPr>
      <w:r>
        <w:t xml:space="preserve">F.17 R01 - Lattice-bound language</w:t>
      </w:r>
    </w:p>
    <w:p>
      <w:pPr>
        <w:pStyle w:val="Compact"/>
        <w:numPr>
          <w:ilvl w:val="0"/>
          <w:numId w:val="1063"/>
        </w:numPr>
      </w:pPr>
      <w:r>
        <w:rPr>
          <w:b/>
          <w:bCs/>
        </w:rPr>
        <w:t xml:space="preserve">Design:</w:t>
      </w:r>
      <w:r>
        <w:t xml:space="preserve"> </w:t>
      </w:r>
      <w:r>
        <w:t xml:space="preserve">Structured projection versus ordinary summary</w:t>
      </w:r>
    </w:p>
    <w:p>
      <w:pPr>
        <w:pStyle w:val="Compact"/>
        <w:numPr>
          <w:ilvl w:val="0"/>
          <w:numId w:val="1063"/>
        </w:numPr>
      </w:pPr>
      <w:r>
        <w:rPr>
          <w:b/>
          <w:bCs/>
        </w:rPr>
        <w:t xml:space="preserve">Evidence lane:</w:t>
      </w:r>
      <w:r>
        <w:t xml:space="preserve"> </w:t>
      </w:r>
      <w:r>
        <w:t xml:space="preserve">Planned</w:t>
      </w:r>
    </w:p>
    <w:p>
      <w:pPr>
        <w:pStyle w:val="Compact"/>
        <w:numPr>
          <w:ilvl w:val="0"/>
          <w:numId w:val="1063"/>
        </w:numPr>
      </w:pPr>
      <w:r>
        <w:rPr>
          <w:b/>
          <w:bCs/>
        </w:rPr>
        <w:t xml:space="preserve">Current result:</w:t>
      </w:r>
      <w:r>
        <w:t xml:space="preserve"> </w:t>
      </w:r>
      <w:r>
        <w:t xml:space="preserve">Structural fidelity, authority leakage, correction</w:t>
      </w:r>
    </w:p>
    <w:p>
      <w:pPr>
        <w:pStyle w:val="Compact"/>
        <w:numPr>
          <w:ilvl w:val="0"/>
          <w:numId w:val="1063"/>
        </w:numPr>
      </w:pPr>
      <w:r>
        <w:rPr>
          <w:b/>
          <w:bCs/>
        </w:rPr>
        <w:t xml:space="preserve">Boundary / next test:</w:t>
      </w:r>
      <w:r>
        <w:t xml:space="preserve"> </w:t>
      </w:r>
      <w:r>
        <w:t xml:space="preserve">Preregister before run</w:t>
      </w:r>
    </w:p>
    <w:bookmarkEnd w:id="313"/>
    <w:bookmarkStart w:id="314" w:name="f.18-r02---meaningful-agency"/>
    <w:p>
      <w:pPr>
        <w:pStyle w:val="Heading2"/>
      </w:pPr>
      <w:r>
        <w:t xml:space="preserve">F.18 R02 - Meaningful agency</w:t>
      </w:r>
    </w:p>
    <w:p>
      <w:pPr>
        <w:pStyle w:val="Compact"/>
        <w:numPr>
          <w:ilvl w:val="0"/>
          <w:numId w:val="1064"/>
        </w:numPr>
      </w:pPr>
      <w:r>
        <w:rPr>
          <w:b/>
          <w:bCs/>
        </w:rPr>
        <w:t xml:space="preserve">Design:</w:t>
      </w:r>
      <w:r>
        <w:t xml:space="preserve"> </w:t>
      </w:r>
      <w:r>
        <w:t xml:space="preserve">Inspection, challenge, delay, reversal instrument</w:t>
      </w:r>
    </w:p>
    <w:p>
      <w:pPr>
        <w:pStyle w:val="Compact"/>
        <w:numPr>
          <w:ilvl w:val="0"/>
          <w:numId w:val="1064"/>
        </w:numPr>
      </w:pPr>
      <w:r>
        <w:rPr>
          <w:b/>
          <w:bCs/>
        </w:rPr>
        <w:t xml:space="preserve">Evidence lane:</w:t>
      </w:r>
      <w:r>
        <w:t xml:space="preserve"> </w:t>
      </w:r>
      <w:r>
        <w:t xml:space="preserve">Planned human study</w:t>
      </w:r>
    </w:p>
    <w:p>
      <w:pPr>
        <w:pStyle w:val="Compact"/>
        <w:numPr>
          <w:ilvl w:val="0"/>
          <w:numId w:val="1064"/>
        </w:numPr>
      </w:pPr>
      <w:r>
        <w:rPr>
          <w:b/>
          <w:bCs/>
        </w:rPr>
        <w:t xml:space="preserve">Current result:</w:t>
      </w:r>
      <w:r>
        <w:t xml:space="preserve"> </w:t>
      </w:r>
      <w:r>
        <w:t xml:space="preserve">Appropriate reliance and reason responsiveness</w:t>
      </w:r>
    </w:p>
    <w:p>
      <w:pPr>
        <w:pStyle w:val="Compact"/>
        <w:numPr>
          <w:ilvl w:val="0"/>
          <w:numId w:val="1064"/>
        </w:numPr>
      </w:pPr>
      <w:r>
        <w:rPr>
          <w:b/>
          <w:bCs/>
        </w:rPr>
        <w:t xml:space="preserve">Boundary / next test:</w:t>
      </w:r>
      <w:r>
        <w:t xml:space="preserve"> </w:t>
      </w:r>
      <w:r>
        <w:t xml:space="preserve">Ethics and privacy review required</w:t>
      </w:r>
    </w:p>
    <w:bookmarkEnd w:id="314"/>
    <w:bookmarkStart w:id="315" w:name="f.19-r03---mission-noncollapse"/>
    <w:p>
      <w:pPr>
        <w:pStyle w:val="Heading2"/>
      </w:pPr>
      <w:r>
        <w:t xml:space="preserve">F.19 R03 - Mission noncollapse</w:t>
      </w:r>
    </w:p>
    <w:p>
      <w:pPr>
        <w:pStyle w:val="Compact"/>
        <w:numPr>
          <w:ilvl w:val="0"/>
          <w:numId w:val="1065"/>
        </w:numPr>
      </w:pPr>
      <w:r>
        <w:rPr>
          <w:b/>
          <w:bCs/>
        </w:rPr>
        <w:t xml:space="preserve">Design:</w:t>
      </w:r>
      <w:r>
        <w:t xml:space="preserve"> </w:t>
      </w:r>
      <w:r>
        <w:t xml:space="preserve">Cross-horizon restatement under pressure</w:t>
      </w:r>
    </w:p>
    <w:p>
      <w:pPr>
        <w:pStyle w:val="Compact"/>
        <w:numPr>
          <w:ilvl w:val="0"/>
          <w:numId w:val="1065"/>
        </w:numPr>
      </w:pPr>
      <w:r>
        <w:rPr>
          <w:b/>
          <w:bCs/>
        </w:rPr>
        <w:t xml:space="preserve">Evidence lane:</w:t>
      </w:r>
      <w:r>
        <w:t xml:space="preserve"> </w:t>
      </w:r>
      <w:r>
        <w:t xml:space="preserve">Planned expert study</w:t>
      </w:r>
    </w:p>
    <w:p>
      <w:pPr>
        <w:pStyle w:val="Compact"/>
        <w:numPr>
          <w:ilvl w:val="0"/>
          <w:numId w:val="1065"/>
        </w:numPr>
      </w:pPr>
      <w:r>
        <w:rPr>
          <w:b/>
          <w:bCs/>
        </w:rPr>
        <w:t xml:space="preserve">Current result:</w:t>
      </w:r>
      <w:r>
        <w:t xml:space="preserve"> </w:t>
      </w:r>
      <w:r>
        <w:t xml:space="preserve">Horizon leakage and authority error</w:t>
      </w:r>
    </w:p>
    <w:p>
      <w:pPr>
        <w:pStyle w:val="Compact"/>
        <w:numPr>
          <w:ilvl w:val="0"/>
          <w:numId w:val="1065"/>
        </w:numPr>
      </w:pPr>
      <w:r>
        <w:rPr>
          <w:b/>
          <w:bCs/>
        </w:rPr>
        <w:t xml:space="preserve">Boundary / next test:</w:t>
      </w:r>
      <w:r>
        <w:t xml:space="preserve"> </w:t>
      </w:r>
      <w:r>
        <w:t xml:space="preserve">Authorized participants required</w:t>
      </w:r>
    </w:p>
    <w:bookmarkEnd w:id="315"/>
    <w:bookmarkStart w:id="316" w:name="f.20-r04---biome-transfer"/>
    <w:p>
      <w:pPr>
        <w:pStyle w:val="Heading2"/>
      </w:pPr>
      <w:r>
        <w:t xml:space="preserve">F.20 R04 - Biome transfer</w:t>
      </w:r>
    </w:p>
    <w:p>
      <w:pPr>
        <w:pStyle w:val="Compact"/>
        <w:numPr>
          <w:ilvl w:val="0"/>
          <w:numId w:val="1066"/>
        </w:numPr>
      </w:pPr>
      <w:r>
        <w:rPr>
          <w:b/>
          <w:bCs/>
        </w:rPr>
        <w:t xml:space="preserve">Design:</w:t>
      </w:r>
      <w:r>
        <w:t xml:space="preserve"> </w:t>
      </w:r>
      <w:r>
        <w:t xml:space="preserve">Real participant constitutional physics</w:t>
      </w:r>
    </w:p>
    <w:p>
      <w:pPr>
        <w:pStyle w:val="Compact"/>
        <w:numPr>
          <w:ilvl w:val="0"/>
          <w:numId w:val="1066"/>
        </w:numPr>
      </w:pPr>
      <w:r>
        <w:rPr>
          <w:b/>
          <w:bCs/>
        </w:rPr>
        <w:t xml:space="preserve">Evidence lane:</w:t>
      </w:r>
      <w:r>
        <w:t xml:space="preserve"> </w:t>
      </w:r>
      <w:r>
        <w:t xml:space="preserve">Planned human/multi-agent study</w:t>
      </w:r>
    </w:p>
    <w:p>
      <w:pPr>
        <w:pStyle w:val="Compact"/>
        <w:numPr>
          <w:ilvl w:val="0"/>
          <w:numId w:val="1066"/>
        </w:numPr>
      </w:pPr>
      <w:r>
        <w:rPr>
          <w:b/>
          <w:bCs/>
        </w:rPr>
        <w:t xml:space="preserve">Current result:</w:t>
      </w:r>
      <w:r>
        <w:t xml:space="preserve"> </w:t>
      </w:r>
      <w:r>
        <w:t xml:space="preserve">Behavioral transfer, mutualism, rationalization</w:t>
      </w:r>
    </w:p>
    <w:p>
      <w:pPr>
        <w:pStyle w:val="Compact"/>
        <w:numPr>
          <w:ilvl w:val="0"/>
          <w:numId w:val="1066"/>
        </w:numPr>
      </w:pPr>
      <w:r>
        <w:rPr>
          <w:b/>
          <w:bCs/>
        </w:rPr>
        <w:t xml:space="preserve">Boundary / next test:</w:t>
      </w:r>
      <w:r>
        <w:t xml:space="preserve"> </w:t>
      </w:r>
      <w:r>
        <w:t xml:space="preserve">First-cohort calibration required</w:t>
      </w:r>
    </w:p>
    <w:bookmarkEnd w:id="316"/>
    <w:bookmarkEnd w:id="317"/>
    <w:bookmarkStart w:id="339" w:name="Xd5c5cd569217a9d04fc7f7cc6ec2ea8060849c1"/>
    <w:p>
      <w:pPr>
        <w:pStyle w:val="Heading1"/>
      </w:pPr>
      <w:r>
        <w:t xml:space="preserve">Appendix G - Source and provenance ledger</w:t>
      </w:r>
    </w:p>
    <w:bookmarkStart w:id="318" w:name="g.1-forked-native-range-archive"/>
    <w:p>
      <w:pPr>
        <w:pStyle w:val="Heading2"/>
      </w:pPr>
      <w:r>
        <w:t xml:space="preserve">G.1 FORKED Native Range archive</w:t>
      </w:r>
    </w:p>
    <w:p>
      <w:pPr>
        <w:pStyle w:val="Compact"/>
        <w:numPr>
          <w:ilvl w:val="0"/>
          <w:numId w:val="1067"/>
        </w:numPr>
      </w:pPr>
      <w:r>
        <w:rPr>
          <w:b/>
          <w:bCs/>
        </w:rPr>
        <w:t xml:space="preserve">Role:</w:t>
      </w:r>
      <w:r>
        <w:t xml:space="preserve"> </w:t>
      </w:r>
      <w:r>
        <w:t xml:space="preserve">distribution lineage</w:t>
      </w:r>
    </w:p>
    <w:p>
      <w:pPr>
        <w:pStyle w:val="Compact"/>
        <w:numPr>
          <w:ilvl w:val="0"/>
          <w:numId w:val="1067"/>
        </w:numPr>
      </w:pPr>
      <w:r>
        <w:rPr>
          <w:b/>
          <w:bCs/>
        </w:rPr>
        <w:t xml:space="preserve">Bytes:</w:t>
      </w:r>
      <w:r>
        <w:t xml:space="preserve"> </w:t>
      </w:r>
      <w:r>
        <w:t xml:space="preserve">197894274</w:t>
      </w:r>
    </w:p>
    <w:p>
      <w:pPr>
        <w:pStyle w:val="Compact"/>
        <w:numPr>
          <w:ilvl w:val="0"/>
          <w:numId w:val="1067"/>
        </w:numPr>
      </w:pPr>
      <w:r>
        <w:rPr>
          <w:b/>
          <w:bCs/>
        </w:rPr>
        <w:t xml:space="preserve">SHA-256:</w:t>
      </w:r>
      <w:r>
        <w:t xml:space="preserve"> </w:t>
      </w:r>
      <w:r>
        <w:rPr>
          <w:rStyle w:val="VerbatimChar"/>
        </w:rPr>
        <w:t xml:space="preserve">48f0f6d9869970d75b77ad5930a644def499c97bee359204bfe41a6f9cc5ec71</w:t>
      </w:r>
    </w:p>
    <w:p>
      <w:pPr>
        <w:pStyle w:val="Compact"/>
        <w:numPr>
          <w:ilvl w:val="0"/>
          <w:numId w:val="1067"/>
        </w:numPr>
      </w:pPr>
      <w:r>
        <w:rPr>
          <w:b/>
          <w:bCs/>
        </w:rPr>
        <w:t xml:space="preserve">Local lineage path:</w:t>
      </w:r>
      <w:r>
        <w:t xml:space="preserve"> </w:t>
      </w:r>
      <w:r>
        <w:rPr>
          <w:rStyle w:val="VerbatimChar"/>
        </w:rPr>
        <w:t xml:space="preserve">/mnt/data/FORKED_Native_Range_v1_1_FINAL.zip</w:t>
      </w:r>
    </w:p>
    <w:bookmarkEnd w:id="318"/>
    <w:bookmarkStart w:id="319" w:name="g.2-forked-experimental-program-archive"/>
    <w:p>
      <w:pPr>
        <w:pStyle w:val="Heading2"/>
      </w:pPr>
      <w:r>
        <w:t xml:space="preserve">G.2 FORKED Experimental Program archive</w:t>
      </w:r>
    </w:p>
    <w:p>
      <w:pPr>
        <w:pStyle w:val="Compact"/>
        <w:numPr>
          <w:ilvl w:val="0"/>
          <w:numId w:val="1068"/>
        </w:numPr>
      </w:pPr>
      <w:r>
        <w:rPr>
          <w:b/>
          <w:bCs/>
        </w:rPr>
        <w:t xml:space="preserve">Role:</w:t>
      </w:r>
      <w:r>
        <w:t xml:space="preserve"> </w:t>
      </w:r>
      <w:r>
        <w:t xml:space="preserve">distribution lineage</w:t>
      </w:r>
    </w:p>
    <w:p>
      <w:pPr>
        <w:pStyle w:val="Compact"/>
        <w:numPr>
          <w:ilvl w:val="0"/>
          <w:numId w:val="1068"/>
        </w:numPr>
      </w:pPr>
      <w:r>
        <w:rPr>
          <w:b/>
          <w:bCs/>
        </w:rPr>
        <w:t xml:space="preserve">Bytes:</w:t>
      </w:r>
      <w:r>
        <w:t xml:space="preserve"> </w:t>
      </w:r>
      <w:r>
        <w:t xml:space="preserve">193760522</w:t>
      </w:r>
    </w:p>
    <w:p>
      <w:pPr>
        <w:pStyle w:val="Compact"/>
        <w:numPr>
          <w:ilvl w:val="0"/>
          <w:numId w:val="1068"/>
        </w:numPr>
      </w:pPr>
      <w:r>
        <w:rPr>
          <w:b/>
          <w:bCs/>
        </w:rPr>
        <w:t xml:space="preserve">SHA-256:</w:t>
      </w:r>
      <w:r>
        <w:t xml:space="preserve"> </w:t>
      </w:r>
      <w:r>
        <w:rPr>
          <w:rStyle w:val="VerbatimChar"/>
        </w:rPr>
        <w:t xml:space="preserve">db8fcaa2d7d795015d7681381493ad07961345b356c78103daa148e574631d3c</w:t>
      </w:r>
    </w:p>
    <w:p>
      <w:pPr>
        <w:pStyle w:val="Compact"/>
        <w:numPr>
          <w:ilvl w:val="0"/>
          <w:numId w:val="1068"/>
        </w:numPr>
      </w:pPr>
      <w:r>
        <w:rPr>
          <w:b/>
          <w:bCs/>
        </w:rPr>
        <w:t xml:space="preserve">Local lineage path:</w:t>
      </w:r>
      <w:r>
        <w:t xml:space="preserve"> </w:t>
      </w:r>
      <w:r>
        <w:rPr>
          <w:rStyle w:val="VerbatimChar"/>
        </w:rPr>
        <w:t xml:space="preserve">/mnt/data/FORKED_Experimental_Program_v0_1_FINAL.zip</w:t>
      </w:r>
    </w:p>
    <w:bookmarkEnd w:id="319"/>
    <w:bookmarkStart w:id="320" w:name="g.3-forked-architecture"/>
    <w:p>
      <w:pPr>
        <w:pStyle w:val="Heading2"/>
      </w:pPr>
      <w:r>
        <w:t xml:space="preserve">G.3 FORKED architecture</w:t>
      </w:r>
    </w:p>
    <w:p>
      <w:pPr>
        <w:pStyle w:val="Compact"/>
        <w:numPr>
          <w:ilvl w:val="0"/>
          <w:numId w:val="1069"/>
        </w:numPr>
      </w:pPr>
      <w:r>
        <w:rPr>
          <w:b/>
          <w:bCs/>
        </w:rPr>
        <w:t xml:space="preserve">Role:</w:t>
      </w:r>
      <w:r>
        <w:t xml:space="preserve"> </w:t>
      </w:r>
      <w:r>
        <w:t xml:space="preserve">parent/runtime source</w:t>
      </w:r>
    </w:p>
    <w:p>
      <w:pPr>
        <w:pStyle w:val="Compact"/>
        <w:numPr>
          <w:ilvl w:val="0"/>
          <w:numId w:val="1069"/>
        </w:numPr>
      </w:pPr>
      <w:r>
        <w:rPr>
          <w:b/>
          <w:bCs/>
        </w:rPr>
        <w:t xml:space="preserve">Bytes:</w:t>
      </w:r>
      <w:r>
        <w:t xml:space="preserve"> </w:t>
      </w:r>
      <w:r>
        <w:t xml:space="preserve">8754</w:t>
      </w:r>
    </w:p>
    <w:p>
      <w:pPr>
        <w:pStyle w:val="Compact"/>
        <w:numPr>
          <w:ilvl w:val="0"/>
          <w:numId w:val="1069"/>
        </w:numPr>
      </w:pPr>
      <w:r>
        <w:rPr>
          <w:b/>
          <w:bCs/>
        </w:rPr>
        <w:t xml:space="preserve">SHA-256:</w:t>
      </w:r>
      <w:r>
        <w:t xml:space="preserve"> </w:t>
      </w:r>
      <w:r>
        <w:rPr>
          <w:rStyle w:val="VerbatimChar"/>
        </w:rPr>
        <w:t xml:space="preserve">6127ece6247b32183a328b5dd9f19fcb78a3936f4dca2400498802fa4ec6d53b</w:t>
      </w:r>
    </w:p>
    <w:p>
      <w:pPr>
        <w:pStyle w:val="Compact"/>
        <w:numPr>
          <w:ilvl w:val="0"/>
          <w:numId w:val="1069"/>
        </w:numPr>
      </w:pPr>
      <w:r>
        <w:rPr>
          <w:b/>
          <w:bCs/>
        </w:rPr>
        <w:t xml:space="preserve">Local lineage path:</w:t>
      </w:r>
      <w:r>
        <w:t xml:space="preserve"> </w:t>
      </w:r>
      <w:r>
        <w:rPr>
          <w:rStyle w:val="VerbatimChar"/>
        </w:rPr>
        <w:t xml:space="preserve">/mnt/data/_forked_native_src/FORKED_Native_Range_v1_1/ARCHITECTURE.md</w:t>
      </w:r>
    </w:p>
    <w:bookmarkEnd w:id="320"/>
    <w:bookmarkStart w:id="321" w:name="g.4-native-campaign-summary"/>
    <w:p>
      <w:pPr>
        <w:pStyle w:val="Heading2"/>
      </w:pPr>
      <w:r>
        <w:t xml:space="preserve">G.4 Native campaign summary</w:t>
      </w:r>
    </w:p>
    <w:p>
      <w:pPr>
        <w:pStyle w:val="Compact"/>
        <w:numPr>
          <w:ilvl w:val="0"/>
          <w:numId w:val="1070"/>
        </w:numPr>
      </w:pPr>
      <w:r>
        <w:rPr>
          <w:b/>
          <w:bCs/>
        </w:rPr>
        <w:t xml:space="preserve">Role:</w:t>
      </w:r>
      <w:r>
        <w:t xml:space="preserve"> </w:t>
      </w:r>
      <w:r>
        <w:t xml:space="preserve">synthetic receipt</w:t>
      </w:r>
    </w:p>
    <w:p>
      <w:pPr>
        <w:pStyle w:val="Compact"/>
        <w:numPr>
          <w:ilvl w:val="0"/>
          <w:numId w:val="1070"/>
        </w:numPr>
      </w:pPr>
      <w:r>
        <w:rPr>
          <w:b/>
          <w:bCs/>
        </w:rPr>
        <w:t xml:space="preserve">Bytes:</w:t>
      </w:r>
      <w:r>
        <w:t xml:space="preserve"> </w:t>
      </w:r>
      <w:r>
        <w:t xml:space="preserve">2057</w:t>
      </w:r>
    </w:p>
    <w:p>
      <w:pPr>
        <w:pStyle w:val="Compact"/>
        <w:numPr>
          <w:ilvl w:val="0"/>
          <w:numId w:val="1070"/>
        </w:numPr>
      </w:pPr>
      <w:r>
        <w:rPr>
          <w:b/>
          <w:bCs/>
        </w:rPr>
        <w:t xml:space="preserve">SHA-256:</w:t>
      </w:r>
      <w:r>
        <w:t xml:space="preserve"> </w:t>
      </w:r>
      <w:r>
        <w:rPr>
          <w:rStyle w:val="VerbatimChar"/>
        </w:rPr>
        <w:t xml:space="preserve">984586fb86d680acbb02ea996bf4793c3e3422a931bb4cb88437b9b9063a603d</w:t>
      </w:r>
    </w:p>
    <w:p>
      <w:pPr>
        <w:pStyle w:val="Compact"/>
        <w:numPr>
          <w:ilvl w:val="0"/>
          <w:numId w:val="1070"/>
        </w:numPr>
      </w:pPr>
      <w:r>
        <w:rPr>
          <w:b/>
          <w:bCs/>
        </w:rPr>
        <w:t xml:space="preserve">Local lineage path:</w:t>
      </w:r>
      <w:r>
        <w:t xml:space="preserve"> </w:t>
      </w:r>
      <w:r>
        <w:rPr>
          <w:rStyle w:val="VerbatimChar"/>
        </w:rPr>
        <w:t xml:space="preserve">/mnt/data/_forked_native_src/FORKED_Native_Range_v1_1/outputs/campaign/campaign_summary.json</w:t>
      </w:r>
    </w:p>
    <w:bookmarkEnd w:id="321"/>
    <w:bookmarkStart w:id="322" w:name="g.5-computing-around-the-open-center"/>
    <w:p>
      <w:pPr>
        <w:pStyle w:val="Heading2"/>
      </w:pPr>
      <w:r>
        <w:t xml:space="preserve">G.5 Computing Around the Open Center</w:t>
      </w:r>
    </w:p>
    <w:p>
      <w:pPr>
        <w:pStyle w:val="Compact"/>
        <w:numPr>
          <w:ilvl w:val="0"/>
          <w:numId w:val="1071"/>
        </w:numPr>
      </w:pPr>
      <w:r>
        <w:rPr>
          <w:b/>
          <w:bCs/>
        </w:rPr>
        <w:t xml:space="preserve">Role:</w:t>
      </w:r>
      <w:r>
        <w:t xml:space="preserve"> </w:t>
      </w:r>
      <w:r>
        <w:t xml:space="preserve">parent paper</w:t>
      </w:r>
    </w:p>
    <w:p>
      <w:pPr>
        <w:pStyle w:val="Compact"/>
        <w:numPr>
          <w:ilvl w:val="0"/>
          <w:numId w:val="1071"/>
        </w:numPr>
      </w:pPr>
      <w:r>
        <w:rPr>
          <w:b/>
          <w:bCs/>
        </w:rPr>
        <w:t xml:space="preserve">Bytes:</w:t>
      </w:r>
      <w:r>
        <w:t xml:space="preserve"> </w:t>
      </w:r>
      <w:r>
        <w:t xml:space="preserve">116137</w:t>
      </w:r>
    </w:p>
    <w:p>
      <w:pPr>
        <w:pStyle w:val="Compact"/>
        <w:numPr>
          <w:ilvl w:val="0"/>
          <w:numId w:val="1071"/>
        </w:numPr>
      </w:pPr>
      <w:r>
        <w:rPr>
          <w:b/>
          <w:bCs/>
        </w:rPr>
        <w:t xml:space="preserve">SHA-256:</w:t>
      </w:r>
      <w:r>
        <w:t xml:space="preserve"> </w:t>
      </w:r>
      <w:r>
        <w:rPr>
          <w:rStyle w:val="VerbatimChar"/>
        </w:rPr>
        <w:t xml:space="preserve">24e61462a051bd32f4f14c784093abbc3587719184689cfcbe9bbd3a48386b63</w:t>
      </w:r>
    </w:p>
    <w:p>
      <w:pPr>
        <w:pStyle w:val="Compact"/>
        <w:numPr>
          <w:ilvl w:val="0"/>
          <w:numId w:val="1071"/>
        </w:numPr>
      </w:pPr>
      <w:r>
        <w:rPr>
          <w:b/>
          <w:bCs/>
        </w:rPr>
        <w:t xml:space="preserve">Local lineage path:</w:t>
      </w:r>
      <w:r>
        <w:t xml:space="preserve"> </w:t>
      </w:r>
      <w:r>
        <w:rPr>
          <w:rStyle w:val="VerbatimChar"/>
        </w:rPr>
        <w:t xml:space="preserve">/mnt/data/_forked_native_src/FORKED_Native_Range_v1_1/lineage/parent_docs/Computing_Around_the_Open_Center.md</w:t>
      </w:r>
    </w:p>
    <w:bookmarkEnd w:id="322"/>
    <w:bookmarkStart w:id="323" w:name="g.6-fractal-quivers-of-quivers"/>
    <w:p>
      <w:pPr>
        <w:pStyle w:val="Heading2"/>
      </w:pPr>
      <w:r>
        <w:t xml:space="preserve">G.6 Fractal Quivers of Quivers</w:t>
      </w:r>
    </w:p>
    <w:p>
      <w:pPr>
        <w:pStyle w:val="Compact"/>
        <w:numPr>
          <w:ilvl w:val="0"/>
          <w:numId w:val="1072"/>
        </w:numPr>
      </w:pPr>
      <w:r>
        <w:rPr>
          <w:b/>
          <w:bCs/>
        </w:rPr>
        <w:t xml:space="preserve">Role:</w:t>
      </w:r>
      <w:r>
        <w:t xml:space="preserve"> </w:t>
      </w:r>
      <w:r>
        <w:t xml:space="preserve">parent paper</w:t>
      </w:r>
    </w:p>
    <w:p>
      <w:pPr>
        <w:pStyle w:val="Compact"/>
        <w:numPr>
          <w:ilvl w:val="0"/>
          <w:numId w:val="1072"/>
        </w:numPr>
      </w:pPr>
      <w:r>
        <w:rPr>
          <w:b/>
          <w:bCs/>
        </w:rPr>
        <w:t xml:space="preserve">Bytes:</w:t>
      </w:r>
      <w:r>
        <w:t xml:space="preserve"> </w:t>
      </w:r>
      <w:r>
        <w:t xml:space="preserve">163144</w:t>
      </w:r>
    </w:p>
    <w:p>
      <w:pPr>
        <w:pStyle w:val="Compact"/>
        <w:numPr>
          <w:ilvl w:val="0"/>
          <w:numId w:val="1072"/>
        </w:numPr>
      </w:pPr>
      <w:r>
        <w:rPr>
          <w:b/>
          <w:bCs/>
        </w:rPr>
        <w:t xml:space="preserve">SHA-256:</w:t>
      </w:r>
      <w:r>
        <w:t xml:space="preserve"> </w:t>
      </w:r>
      <w:r>
        <w:rPr>
          <w:rStyle w:val="VerbatimChar"/>
        </w:rPr>
        <w:t xml:space="preserve">ce6d33beaf02c00e7b278428c29ecdd01f4f1f4db2d0ae2269d3ebf1113510d7</w:t>
      </w:r>
    </w:p>
    <w:p>
      <w:pPr>
        <w:pStyle w:val="Compact"/>
        <w:numPr>
          <w:ilvl w:val="0"/>
          <w:numId w:val="1072"/>
        </w:numPr>
      </w:pPr>
      <w:r>
        <w:rPr>
          <w:b/>
          <w:bCs/>
        </w:rPr>
        <w:t xml:space="preserve">Local lineage path:</w:t>
      </w:r>
      <w:r>
        <w:t xml:space="preserve"> </w:t>
      </w:r>
      <w:r>
        <w:rPr>
          <w:rStyle w:val="VerbatimChar"/>
        </w:rPr>
        <w:t xml:space="preserve">/mnt/data/_forked_native_src/FORKED_Native_Range_v1_1/lineage/parent_docs/Fractal_Quivers_of_Quivers_v1.0.pdf</w:t>
      </w:r>
    </w:p>
    <w:bookmarkEnd w:id="323"/>
    <w:bookmarkStart w:id="324" w:name="g.7-hunger"/>
    <w:p>
      <w:pPr>
        <w:pStyle w:val="Heading2"/>
      </w:pPr>
      <w:r>
        <w:t xml:space="preserve">G.7 HUNGER</w:t>
      </w:r>
    </w:p>
    <w:p>
      <w:pPr>
        <w:pStyle w:val="Compact"/>
        <w:numPr>
          <w:ilvl w:val="0"/>
          <w:numId w:val="1073"/>
        </w:numPr>
      </w:pPr>
      <w:r>
        <w:rPr>
          <w:b/>
          <w:bCs/>
        </w:rPr>
        <w:t xml:space="preserve">Role:</w:t>
      </w:r>
      <w:r>
        <w:t xml:space="preserve"> </w:t>
      </w:r>
      <w:r>
        <w:t xml:space="preserve">native source artifact</w:t>
      </w:r>
    </w:p>
    <w:p>
      <w:pPr>
        <w:pStyle w:val="Compact"/>
        <w:numPr>
          <w:ilvl w:val="0"/>
          <w:numId w:val="1073"/>
        </w:numPr>
      </w:pPr>
      <w:r>
        <w:rPr>
          <w:b/>
          <w:bCs/>
        </w:rPr>
        <w:t xml:space="preserve">Bytes:</w:t>
      </w:r>
      <w:r>
        <w:t xml:space="preserve"> </w:t>
      </w:r>
      <w:r>
        <w:t xml:space="preserve">19146549</w:t>
      </w:r>
    </w:p>
    <w:p>
      <w:pPr>
        <w:pStyle w:val="Compact"/>
        <w:numPr>
          <w:ilvl w:val="0"/>
          <w:numId w:val="1073"/>
        </w:numPr>
      </w:pPr>
      <w:r>
        <w:rPr>
          <w:b/>
          <w:bCs/>
        </w:rPr>
        <w:t xml:space="preserve">SHA-256:</w:t>
      </w:r>
      <w:r>
        <w:t xml:space="preserve"> </w:t>
      </w:r>
      <w:r>
        <w:rPr>
          <w:rStyle w:val="VerbatimChar"/>
        </w:rPr>
        <w:t xml:space="preserve">20c7b95a0668a6b15136c4ef12112ffd9f5f75ac254c79a56a96517af4a1e443</w:t>
      </w:r>
    </w:p>
    <w:p>
      <w:pPr>
        <w:pStyle w:val="Compact"/>
        <w:numPr>
          <w:ilvl w:val="0"/>
          <w:numId w:val="1073"/>
        </w:numPr>
      </w:pPr>
      <w:r>
        <w:rPr>
          <w:b/>
          <w:bCs/>
        </w:rPr>
        <w:t xml:space="preserve">Local lineage path:</w:t>
      </w:r>
      <w:r>
        <w:t xml:space="preserve"> </w:t>
      </w:r>
      <w:r>
        <w:rPr>
          <w:rStyle w:val="VerbatimChar"/>
        </w:rPr>
        <w:t xml:space="preserve">/mnt/data/HUNGER_Slime_Mold_Simulation.pdf</w:t>
      </w:r>
    </w:p>
    <w:bookmarkEnd w:id="324"/>
    <w:bookmarkStart w:id="325" w:name="g.8-aesop-field"/>
    <w:p>
      <w:pPr>
        <w:pStyle w:val="Heading2"/>
      </w:pPr>
      <w:r>
        <w:t xml:space="preserve">G.8 Aesop field</w:t>
      </w:r>
    </w:p>
    <w:p>
      <w:pPr>
        <w:pStyle w:val="Compact"/>
        <w:numPr>
          <w:ilvl w:val="0"/>
          <w:numId w:val="1074"/>
        </w:numPr>
      </w:pPr>
      <w:r>
        <w:rPr>
          <w:b/>
          <w:bCs/>
        </w:rPr>
        <w:t xml:space="preserve">Role:</w:t>
      </w:r>
      <w:r>
        <w:t xml:space="preserve"> </w:t>
      </w:r>
      <w:r>
        <w:t xml:space="preserve">native executable source</w:t>
      </w:r>
    </w:p>
    <w:p>
      <w:pPr>
        <w:pStyle w:val="Compact"/>
        <w:numPr>
          <w:ilvl w:val="0"/>
          <w:numId w:val="1074"/>
        </w:numPr>
      </w:pPr>
      <w:r>
        <w:rPr>
          <w:b/>
          <w:bCs/>
        </w:rPr>
        <w:t xml:space="preserve">Bytes:</w:t>
      </w:r>
      <w:r>
        <w:t xml:space="preserve"> </w:t>
      </w:r>
      <w:r>
        <w:t xml:space="preserve">61271</w:t>
      </w:r>
    </w:p>
    <w:p>
      <w:pPr>
        <w:pStyle w:val="Compact"/>
        <w:numPr>
          <w:ilvl w:val="0"/>
          <w:numId w:val="1074"/>
        </w:numPr>
      </w:pPr>
      <w:r>
        <w:rPr>
          <w:b/>
          <w:bCs/>
        </w:rPr>
        <w:t xml:space="preserve">SHA-256:</w:t>
      </w:r>
      <w:r>
        <w:t xml:space="preserve"> </w:t>
      </w:r>
      <w:r>
        <w:rPr>
          <w:rStyle w:val="VerbatimChar"/>
        </w:rPr>
        <w:t xml:space="preserve">dcecf2e71d52712c2387efca315699ef0708e7ba6dc1a7e06b34d2c529bca923</w:t>
      </w:r>
    </w:p>
    <w:p>
      <w:pPr>
        <w:pStyle w:val="Compact"/>
        <w:numPr>
          <w:ilvl w:val="0"/>
          <w:numId w:val="1074"/>
        </w:numPr>
      </w:pPr>
      <w:r>
        <w:rPr>
          <w:b/>
          <w:bCs/>
        </w:rPr>
        <w:t xml:space="preserve">Local lineage path:</w:t>
      </w:r>
      <w:r>
        <w:t xml:space="preserve"> </w:t>
      </w:r>
      <w:r>
        <w:rPr>
          <w:rStyle w:val="VerbatimChar"/>
        </w:rPr>
        <w:t xml:space="preserve">/mnt/data/aesop_archetype_field.py</w:t>
      </w:r>
    </w:p>
    <w:bookmarkEnd w:id="325"/>
    <w:bookmarkStart w:id="326" w:name="g.9-terrain-doctrine"/>
    <w:p>
      <w:pPr>
        <w:pStyle w:val="Heading2"/>
      </w:pPr>
      <w:r>
        <w:t xml:space="preserve">G.9 Terrain doctrine</w:t>
      </w:r>
    </w:p>
    <w:p>
      <w:pPr>
        <w:pStyle w:val="Compact"/>
        <w:numPr>
          <w:ilvl w:val="0"/>
          <w:numId w:val="1075"/>
        </w:numPr>
      </w:pPr>
      <w:r>
        <w:rPr>
          <w:b/>
          <w:bCs/>
        </w:rPr>
        <w:t xml:space="preserve">Role:</w:t>
      </w:r>
      <w:r>
        <w:t xml:space="preserve"> </w:t>
      </w:r>
      <w:r>
        <w:t xml:space="preserve">native source spec</w:t>
      </w:r>
    </w:p>
    <w:p>
      <w:pPr>
        <w:pStyle w:val="Compact"/>
        <w:numPr>
          <w:ilvl w:val="0"/>
          <w:numId w:val="1075"/>
        </w:numPr>
      </w:pPr>
      <w:r>
        <w:rPr>
          <w:b/>
          <w:bCs/>
        </w:rPr>
        <w:t xml:space="preserve">Bytes:</w:t>
      </w:r>
      <w:r>
        <w:t xml:space="preserve"> </w:t>
      </w:r>
      <w:r>
        <w:t xml:space="preserve">11586</w:t>
      </w:r>
    </w:p>
    <w:p>
      <w:pPr>
        <w:pStyle w:val="Compact"/>
        <w:numPr>
          <w:ilvl w:val="0"/>
          <w:numId w:val="1075"/>
        </w:numPr>
      </w:pPr>
      <w:r>
        <w:rPr>
          <w:b/>
          <w:bCs/>
        </w:rPr>
        <w:t xml:space="preserve">SHA-256:</w:t>
      </w:r>
      <w:r>
        <w:t xml:space="preserve"> </w:t>
      </w:r>
      <w:r>
        <w:rPr>
          <w:rStyle w:val="VerbatimChar"/>
        </w:rPr>
        <w:t xml:space="preserve">d4c8ef1c3f59033c23f956d0d2a74178beb27b2341c8953c9ae5d7ad8884bdc2</w:t>
      </w:r>
    </w:p>
    <w:p>
      <w:pPr>
        <w:pStyle w:val="Compact"/>
        <w:numPr>
          <w:ilvl w:val="0"/>
          <w:numId w:val="1075"/>
        </w:numPr>
      </w:pPr>
      <w:r>
        <w:rPr>
          <w:b/>
          <w:bCs/>
        </w:rPr>
        <w:t xml:space="preserve">Local lineage path:</w:t>
      </w:r>
      <w:r>
        <w:t xml:space="preserve"> </w:t>
      </w:r>
      <w:r>
        <w:rPr>
          <w:rStyle w:val="VerbatimChar"/>
        </w:rPr>
        <w:t xml:space="preserve">/mnt/data/terrain-training-doctrine-spec(1).md</w:t>
      </w:r>
    </w:p>
    <w:bookmarkEnd w:id="326"/>
    <w:bookmarkStart w:id="327" w:name="g.10-biome-specification"/>
    <w:p>
      <w:pPr>
        <w:pStyle w:val="Heading2"/>
      </w:pPr>
      <w:r>
        <w:t xml:space="preserve">G.10 Biome specification</w:t>
      </w:r>
    </w:p>
    <w:p>
      <w:pPr>
        <w:pStyle w:val="Compact"/>
        <w:numPr>
          <w:ilvl w:val="0"/>
          <w:numId w:val="1076"/>
        </w:numPr>
      </w:pPr>
      <w:r>
        <w:rPr>
          <w:b/>
          <w:bCs/>
        </w:rPr>
        <w:t xml:space="preserve">Role:</w:t>
      </w:r>
      <w:r>
        <w:t xml:space="preserve"> </w:t>
      </w:r>
      <w:r>
        <w:t xml:space="preserve">native source spec</w:t>
      </w:r>
    </w:p>
    <w:p>
      <w:pPr>
        <w:pStyle w:val="Compact"/>
        <w:numPr>
          <w:ilvl w:val="0"/>
          <w:numId w:val="1076"/>
        </w:numPr>
      </w:pPr>
      <w:r>
        <w:rPr>
          <w:b/>
          <w:bCs/>
        </w:rPr>
        <w:t xml:space="preserve">Bytes:</w:t>
      </w:r>
      <w:r>
        <w:t xml:space="preserve"> </w:t>
      </w:r>
      <w:r>
        <w:t xml:space="preserve">21007</w:t>
      </w:r>
    </w:p>
    <w:p>
      <w:pPr>
        <w:pStyle w:val="Compact"/>
        <w:numPr>
          <w:ilvl w:val="0"/>
          <w:numId w:val="1076"/>
        </w:numPr>
      </w:pPr>
      <w:r>
        <w:rPr>
          <w:b/>
          <w:bCs/>
        </w:rPr>
        <w:t xml:space="preserve">SHA-256:</w:t>
      </w:r>
      <w:r>
        <w:t xml:space="preserve"> </w:t>
      </w:r>
      <w:r>
        <w:rPr>
          <w:rStyle w:val="VerbatimChar"/>
        </w:rPr>
        <w:t xml:space="preserve">861058fb796b2e74c2a9565ee76772838bfaabc62fbd962d9afe10023bd4e02f</w:t>
      </w:r>
    </w:p>
    <w:p>
      <w:pPr>
        <w:pStyle w:val="Compact"/>
        <w:numPr>
          <w:ilvl w:val="0"/>
          <w:numId w:val="1076"/>
        </w:numPr>
      </w:pPr>
      <w:r>
        <w:rPr>
          <w:b/>
          <w:bCs/>
        </w:rPr>
        <w:t xml:space="preserve">Local lineage path:</w:t>
      </w:r>
      <w:r>
        <w:t xml:space="preserve"> </w:t>
      </w:r>
      <w:r>
        <w:rPr>
          <w:rStyle w:val="VerbatimChar"/>
        </w:rPr>
        <w:t xml:space="preserve">/mnt/data/biome-simulation-spec.md</w:t>
      </w:r>
    </w:p>
    <w:bookmarkEnd w:id="327"/>
    <w:bookmarkStart w:id="328" w:name="g.11-physarum-specification"/>
    <w:p>
      <w:pPr>
        <w:pStyle w:val="Heading2"/>
      </w:pPr>
      <w:r>
        <w:t xml:space="preserve">G.11 Physarum specification</w:t>
      </w:r>
    </w:p>
    <w:p>
      <w:pPr>
        <w:pStyle w:val="Compact"/>
        <w:numPr>
          <w:ilvl w:val="0"/>
          <w:numId w:val="1077"/>
        </w:numPr>
      </w:pPr>
      <w:r>
        <w:rPr>
          <w:b/>
          <w:bCs/>
        </w:rPr>
        <w:t xml:space="preserve">Role:</w:t>
      </w:r>
      <w:r>
        <w:t xml:space="preserve"> </w:t>
      </w:r>
      <w:r>
        <w:t xml:space="preserve">native source spec</w:t>
      </w:r>
    </w:p>
    <w:p>
      <w:pPr>
        <w:pStyle w:val="Compact"/>
        <w:numPr>
          <w:ilvl w:val="0"/>
          <w:numId w:val="1077"/>
        </w:numPr>
      </w:pPr>
      <w:r>
        <w:rPr>
          <w:b/>
          <w:bCs/>
        </w:rPr>
        <w:t xml:space="preserve">Bytes:</w:t>
      </w:r>
      <w:r>
        <w:t xml:space="preserve"> </w:t>
      </w:r>
      <w:r>
        <w:t xml:space="preserve">14763</w:t>
      </w:r>
    </w:p>
    <w:p>
      <w:pPr>
        <w:pStyle w:val="Compact"/>
        <w:numPr>
          <w:ilvl w:val="0"/>
          <w:numId w:val="1077"/>
        </w:numPr>
      </w:pPr>
      <w:r>
        <w:rPr>
          <w:b/>
          <w:bCs/>
        </w:rPr>
        <w:t xml:space="preserve">SHA-256:</w:t>
      </w:r>
      <w:r>
        <w:t xml:space="preserve"> </w:t>
      </w:r>
      <w:r>
        <w:rPr>
          <w:rStyle w:val="VerbatimChar"/>
        </w:rPr>
        <w:t xml:space="preserve">6946a07ccc22c5e9f7025507a3f57dd15ec065c25c7fdfd8bf8e6b5e6056697e</w:t>
      </w:r>
    </w:p>
    <w:p>
      <w:pPr>
        <w:pStyle w:val="Compact"/>
        <w:numPr>
          <w:ilvl w:val="0"/>
          <w:numId w:val="1077"/>
        </w:numPr>
      </w:pPr>
      <w:r>
        <w:rPr>
          <w:b/>
          <w:bCs/>
        </w:rPr>
        <w:t xml:space="preserve">Local lineage path:</w:t>
      </w:r>
      <w:r>
        <w:t xml:space="preserve"> </w:t>
      </w:r>
      <w:r>
        <w:rPr>
          <w:rStyle w:val="VerbatimChar"/>
        </w:rPr>
        <w:t xml:space="preserve">/mnt/data/physarum-simulation-spec.md</w:t>
      </w:r>
    </w:p>
    <w:bookmarkEnd w:id="328"/>
    <w:bookmarkStart w:id="329" w:name="g.12-lichen-specification"/>
    <w:p>
      <w:pPr>
        <w:pStyle w:val="Heading2"/>
      </w:pPr>
      <w:r>
        <w:t xml:space="preserve">G.12 Lichen specification</w:t>
      </w:r>
    </w:p>
    <w:p>
      <w:pPr>
        <w:pStyle w:val="Compact"/>
        <w:numPr>
          <w:ilvl w:val="0"/>
          <w:numId w:val="1078"/>
        </w:numPr>
      </w:pPr>
      <w:r>
        <w:rPr>
          <w:b/>
          <w:bCs/>
        </w:rPr>
        <w:t xml:space="preserve">Role:</w:t>
      </w:r>
      <w:r>
        <w:t xml:space="preserve"> </w:t>
      </w:r>
      <w:r>
        <w:t xml:space="preserve">native source spec</w:t>
      </w:r>
    </w:p>
    <w:p>
      <w:pPr>
        <w:pStyle w:val="Compact"/>
        <w:numPr>
          <w:ilvl w:val="0"/>
          <w:numId w:val="1078"/>
        </w:numPr>
      </w:pPr>
      <w:r>
        <w:rPr>
          <w:b/>
          <w:bCs/>
        </w:rPr>
        <w:t xml:space="preserve">Bytes:</w:t>
      </w:r>
      <w:r>
        <w:t xml:space="preserve"> </w:t>
      </w:r>
      <w:r>
        <w:t xml:space="preserve">20629</w:t>
      </w:r>
    </w:p>
    <w:p>
      <w:pPr>
        <w:pStyle w:val="Compact"/>
        <w:numPr>
          <w:ilvl w:val="0"/>
          <w:numId w:val="1078"/>
        </w:numPr>
      </w:pPr>
      <w:r>
        <w:rPr>
          <w:b/>
          <w:bCs/>
        </w:rPr>
        <w:t xml:space="preserve">SHA-256:</w:t>
      </w:r>
      <w:r>
        <w:t xml:space="preserve"> </w:t>
      </w:r>
      <w:r>
        <w:rPr>
          <w:rStyle w:val="VerbatimChar"/>
        </w:rPr>
        <w:t xml:space="preserve">d886f57db5b640c27daa78ccab0297568c13782748fcecc9afd3cff56296b914</w:t>
      </w:r>
    </w:p>
    <w:p>
      <w:pPr>
        <w:pStyle w:val="Compact"/>
        <w:numPr>
          <w:ilvl w:val="0"/>
          <w:numId w:val="1078"/>
        </w:numPr>
      </w:pPr>
      <w:r>
        <w:rPr>
          <w:b/>
          <w:bCs/>
        </w:rPr>
        <w:t xml:space="preserve">Local lineage path:</w:t>
      </w:r>
      <w:r>
        <w:t xml:space="preserve"> </w:t>
      </w:r>
      <w:r>
        <w:rPr>
          <w:rStyle w:val="VerbatimChar"/>
        </w:rPr>
        <w:t xml:space="preserve">/mnt/data/lichen-simulation-spec.md</w:t>
      </w:r>
    </w:p>
    <w:bookmarkEnd w:id="329"/>
    <w:bookmarkStart w:id="330" w:name="g.13-behavioral-diversity"/>
    <w:p>
      <w:pPr>
        <w:pStyle w:val="Heading2"/>
      </w:pPr>
      <w:r>
        <w:t xml:space="preserve">G.13 Behavioral diversity</w:t>
      </w:r>
    </w:p>
    <w:p>
      <w:pPr>
        <w:pStyle w:val="Compact"/>
        <w:numPr>
          <w:ilvl w:val="0"/>
          <w:numId w:val="1079"/>
        </w:numPr>
      </w:pPr>
      <w:r>
        <w:rPr>
          <w:b/>
          <w:bCs/>
        </w:rPr>
        <w:t xml:space="preserve">Role:</w:t>
      </w:r>
      <w:r>
        <w:t xml:space="preserve"> </w:t>
      </w:r>
      <w:r>
        <w:t xml:space="preserve">native source spec</w:t>
      </w:r>
    </w:p>
    <w:p>
      <w:pPr>
        <w:pStyle w:val="Compact"/>
        <w:numPr>
          <w:ilvl w:val="0"/>
          <w:numId w:val="1079"/>
        </w:numPr>
      </w:pPr>
      <w:r>
        <w:rPr>
          <w:b/>
          <w:bCs/>
        </w:rPr>
        <w:t xml:space="preserve">Bytes:</w:t>
      </w:r>
      <w:r>
        <w:t xml:space="preserve"> </w:t>
      </w:r>
      <w:r>
        <w:t xml:space="preserve">9964</w:t>
      </w:r>
    </w:p>
    <w:p>
      <w:pPr>
        <w:pStyle w:val="Compact"/>
        <w:numPr>
          <w:ilvl w:val="0"/>
          <w:numId w:val="1079"/>
        </w:numPr>
      </w:pPr>
      <w:r>
        <w:rPr>
          <w:b/>
          <w:bCs/>
        </w:rPr>
        <w:t xml:space="preserve">SHA-256:</w:t>
      </w:r>
      <w:r>
        <w:t xml:space="preserve"> </w:t>
      </w:r>
      <w:r>
        <w:rPr>
          <w:rStyle w:val="VerbatimChar"/>
        </w:rPr>
        <w:t xml:space="preserve">8bbb6eae82afa808ddd84a2d53b3e012600449de4cf38435d732389e347c6220</w:t>
      </w:r>
    </w:p>
    <w:p>
      <w:pPr>
        <w:pStyle w:val="Compact"/>
        <w:numPr>
          <w:ilvl w:val="0"/>
          <w:numId w:val="1079"/>
        </w:numPr>
      </w:pPr>
      <w:r>
        <w:rPr>
          <w:b/>
          <w:bCs/>
        </w:rPr>
        <w:t xml:space="preserve">Local lineage path:</w:t>
      </w:r>
      <w:r>
        <w:t xml:space="preserve"> </w:t>
      </w:r>
      <w:r>
        <w:rPr>
          <w:rStyle w:val="VerbatimChar"/>
        </w:rPr>
        <w:t xml:space="preserve">/mnt/data/behavioral-diversity-spec.md</w:t>
      </w:r>
    </w:p>
    <w:bookmarkEnd w:id="330"/>
    <w:bookmarkStart w:id="331" w:name="g.14-cross-biome-visa"/>
    <w:p>
      <w:pPr>
        <w:pStyle w:val="Heading2"/>
      </w:pPr>
      <w:r>
        <w:t xml:space="preserve">G.14 Cross-biome visa</w:t>
      </w:r>
    </w:p>
    <w:p>
      <w:pPr>
        <w:pStyle w:val="Compact"/>
        <w:numPr>
          <w:ilvl w:val="0"/>
          <w:numId w:val="1080"/>
        </w:numPr>
      </w:pPr>
      <w:r>
        <w:rPr>
          <w:b/>
          <w:bCs/>
        </w:rPr>
        <w:t xml:space="preserve">Role:</w:t>
      </w:r>
      <w:r>
        <w:t xml:space="preserve"> </w:t>
      </w:r>
      <w:r>
        <w:t xml:space="preserve">native source spec</w:t>
      </w:r>
    </w:p>
    <w:p>
      <w:pPr>
        <w:pStyle w:val="Compact"/>
        <w:numPr>
          <w:ilvl w:val="0"/>
          <w:numId w:val="1080"/>
        </w:numPr>
      </w:pPr>
      <w:r>
        <w:rPr>
          <w:b/>
          <w:bCs/>
        </w:rPr>
        <w:t xml:space="preserve">Bytes:</w:t>
      </w:r>
      <w:r>
        <w:t xml:space="preserve"> </w:t>
      </w:r>
      <w:r>
        <w:t xml:space="preserve">18332</w:t>
      </w:r>
    </w:p>
    <w:p>
      <w:pPr>
        <w:pStyle w:val="Compact"/>
        <w:numPr>
          <w:ilvl w:val="0"/>
          <w:numId w:val="1080"/>
        </w:numPr>
      </w:pPr>
      <w:r>
        <w:rPr>
          <w:b/>
          <w:bCs/>
        </w:rPr>
        <w:t xml:space="preserve">SHA-256:</w:t>
      </w:r>
      <w:r>
        <w:t xml:space="preserve"> </w:t>
      </w:r>
      <w:r>
        <w:rPr>
          <w:rStyle w:val="VerbatimChar"/>
        </w:rPr>
        <w:t xml:space="preserve">385f5cbd9e935365ca2963899ae67a3f5e7ba07e57a067adb1360cbede4b5b58</w:t>
      </w:r>
    </w:p>
    <w:p>
      <w:pPr>
        <w:pStyle w:val="Compact"/>
        <w:numPr>
          <w:ilvl w:val="0"/>
          <w:numId w:val="1080"/>
        </w:numPr>
      </w:pPr>
      <w:r>
        <w:rPr>
          <w:b/>
          <w:bCs/>
        </w:rPr>
        <w:t xml:space="preserve">Local lineage path:</w:t>
      </w:r>
      <w:r>
        <w:t xml:space="preserve"> </w:t>
      </w:r>
      <w:r>
        <w:rPr>
          <w:rStyle w:val="VerbatimChar"/>
        </w:rPr>
        <w:t xml:space="preserve">/mnt/data/cross-biome-visa-spec(1).md</w:t>
      </w:r>
    </w:p>
    <w:bookmarkEnd w:id="331"/>
    <w:bookmarkStart w:id="332" w:name="g.15-sensory-lane"/>
    <w:p>
      <w:pPr>
        <w:pStyle w:val="Heading2"/>
      </w:pPr>
      <w:r>
        <w:t xml:space="preserve">G.15 Sensory lane</w:t>
      </w:r>
    </w:p>
    <w:p>
      <w:pPr>
        <w:pStyle w:val="Compact"/>
        <w:numPr>
          <w:ilvl w:val="0"/>
          <w:numId w:val="1081"/>
        </w:numPr>
      </w:pPr>
      <w:r>
        <w:rPr>
          <w:b/>
          <w:bCs/>
        </w:rPr>
        <w:t xml:space="preserve">Role:</w:t>
      </w:r>
      <w:r>
        <w:t xml:space="preserve"> </w:t>
      </w:r>
      <w:r>
        <w:t xml:space="preserve">native source spec</w:t>
      </w:r>
    </w:p>
    <w:p>
      <w:pPr>
        <w:pStyle w:val="Compact"/>
        <w:numPr>
          <w:ilvl w:val="0"/>
          <w:numId w:val="1081"/>
        </w:numPr>
      </w:pPr>
      <w:r>
        <w:rPr>
          <w:b/>
          <w:bCs/>
        </w:rPr>
        <w:t xml:space="preserve">Bytes:</w:t>
      </w:r>
      <w:r>
        <w:t xml:space="preserve"> </w:t>
      </w:r>
      <w:r>
        <w:t xml:space="preserve">17947</w:t>
      </w:r>
    </w:p>
    <w:p>
      <w:pPr>
        <w:pStyle w:val="Compact"/>
        <w:numPr>
          <w:ilvl w:val="0"/>
          <w:numId w:val="1081"/>
        </w:numPr>
      </w:pPr>
      <w:r>
        <w:rPr>
          <w:b/>
          <w:bCs/>
        </w:rPr>
        <w:t xml:space="preserve">SHA-256:</w:t>
      </w:r>
      <w:r>
        <w:t xml:space="preserve"> </w:t>
      </w:r>
      <w:r>
        <w:rPr>
          <w:rStyle w:val="VerbatimChar"/>
        </w:rPr>
        <w:t xml:space="preserve">7e66de38f30957a47393b4e8ee9e679154f78771d3006621aa857f0b3fd53282</w:t>
      </w:r>
    </w:p>
    <w:p>
      <w:pPr>
        <w:pStyle w:val="Compact"/>
        <w:numPr>
          <w:ilvl w:val="0"/>
          <w:numId w:val="1081"/>
        </w:numPr>
      </w:pPr>
      <w:r>
        <w:rPr>
          <w:b/>
          <w:bCs/>
        </w:rPr>
        <w:t xml:space="preserve">Local lineage path:</w:t>
      </w:r>
      <w:r>
        <w:t xml:space="preserve"> </w:t>
      </w:r>
      <w:r>
        <w:rPr>
          <w:rStyle w:val="VerbatimChar"/>
        </w:rPr>
        <w:t xml:space="preserve">/mnt/data/sensory-reflective-lane-spec.md</w:t>
      </w:r>
    </w:p>
    <w:bookmarkEnd w:id="332"/>
    <w:bookmarkStart w:id="333" w:name="g.16-citizen-lifecycle"/>
    <w:p>
      <w:pPr>
        <w:pStyle w:val="Heading2"/>
      </w:pPr>
      <w:r>
        <w:t xml:space="preserve">G.16 Citizen lifecycle</w:t>
      </w:r>
    </w:p>
    <w:p>
      <w:pPr>
        <w:pStyle w:val="Compact"/>
        <w:numPr>
          <w:ilvl w:val="0"/>
          <w:numId w:val="1082"/>
        </w:numPr>
      </w:pPr>
      <w:r>
        <w:rPr>
          <w:b/>
          <w:bCs/>
        </w:rPr>
        <w:t xml:space="preserve">Role:</w:t>
      </w:r>
      <w:r>
        <w:t xml:space="preserve"> </w:t>
      </w:r>
      <w:r>
        <w:t xml:space="preserve">native source spec</w:t>
      </w:r>
    </w:p>
    <w:p>
      <w:pPr>
        <w:pStyle w:val="Compact"/>
        <w:numPr>
          <w:ilvl w:val="0"/>
          <w:numId w:val="1082"/>
        </w:numPr>
      </w:pPr>
      <w:r>
        <w:rPr>
          <w:b/>
          <w:bCs/>
        </w:rPr>
        <w:t xml:space="preserve">Bytes:</w:t>
      </w:r>
      <w:r>
        <w:t xml:space="preserve"> </w:t>
      </w:r>
      <w:r>
        <w:t xml:space="preserve">14569</w:t>
      </w:r>
    </w:p>
    <w:p>
      <w:pPr>
        <w:pStyle w:val="Compact"/>
        <w:numPr>
          <w:ilvl w:val="0"/>
          <w:numId w:val="1082"/>
        </w:numPr>
      </w:pPr>
      <w:r>
        <w:rPr>
          <w:b/>
          <w:bCs/>
        </w:rPr>
        <w:t xml:space="preserve">SHA-256:</w:t>
      </w:r>
      <w:r>
        <w:t xml:space="preserve"> </w:t>
      </w:r>
      <w:r>
        <w:rPr>
          <w:rStyle w:val="VerbatimChar"/>
        </w:rPr>
        <w:t xml:space="preserve">c037c530f539199b588e6a68c6d85268a69f61a88dea66ee974f230009a14803</w:t>
      </w:r>
    </w:p>
    <w:p>
      <w:pPr>
        <w:pStyle w:val="Compact"/>
        <w:numPr>
          <w:ilvl w:val="0"/>
          <w:numId w:val="1082"/>
        </w:numPr>
      </w:pPr>
      <w:r>
        <w:rPr>
          <w:b/>
          <w:bCs/>
        </w:rPr>
        <w:t xml:space="preserve">Local lineage path:</w:t>
      </w:r>
      <w:r>
        <w:t xml:space="preserve"> </w:t>
      </w:r>
      <w:r>
        <w:rPr>
          <w:rStyle w:val="VerbatimChar"/>
        </w:rPr>
        <w:t xml:space="preserve">/mnt/data/citizen_lifecycle.md</w:t>
      </w:r>
    </w:p>
    <w:bookmarkEnd w:id="333"/>
    <w:bookmarkStart w:id="334" w:name="g.17-cache-poisoning"/>
    <w:p>
      <w:pPr>
        <w:pStyle w:val="Heading2"/>
      </w:pPr>
      <w:r>
        <w:t xml:space="preserve">G.17 Cache poisoning</w:t>
      </w:r>
    </w:p>
    <w:p>
      <w:pPr>
        <w:pStyle w:val="Compact"/>
        <w:numPr>
          <w:ilvl w:val="0"/>
          <w:numId w:val="1083"/>
        </w:numPr>
      </w:pPr>
      <w:r>
        <w:rPr>
          <w:b/>
          <w:bCs/>
        </w:rPr>
        <w:t xml:space="preserve">Role:</w:t>
      </w:r>
      <w:r>
        <w:t xml:space="preserve"> </w:t>
      </w:r>
      <w:r>
        <w:t xml:space="preserve">native source spec</w:t>
      </w:r>
    </w:p>
    <w:p>
      <w:pPr>
        <w:pStyle w:val="Compact"/>
        <w:numPr>
          <w:ilvl w:val="0"/>
          <w:numId w:val="1083"/>
        </w:numPr>
      </w:pPr>
      <w:r>
        <w:rPr>
          <w:b/>
          <w:bCs/>
        </w:rPr>
        <w:t xml:space="preserve">Bytes:</w:t>
      </w:r>
      <w:r>
        <w:t xml:space="preserve"> </w:t>
      </w:r>
      <w:r>
        <w:t xml:space="preserve">12726</w:t>
      </w:r>
    </w:p>
    <w:p>
      <w:pPr>
        <w:pStyle w:val="Compact"/>
        <w:numPr>
          <w:ilvl w:val="0"/>
          <w:numId w:val="1083"/>
        </w:numPr>
      </w:pPr>
      <w:r>
        <w:rPr>
          <w:b/>
          <w:bCs/>
        </w:rPr>
        <w:t xml:space="preserve">SHA-256:</w:t>
      </w:r>
      <w:r>
        <w:t xml:space="preserve"> </w:t>
      </w:r>
      <w:r>
        <w:rPr>
          <w:rStyle w:val="VerbatimChar"/>
        </w:rPr>
        <w:t xml:space="preserve">6c0f4a0cf5be658f7d908c75cfac79b2e8c64b668753c89aac4165f9ce8a1f45</w:t>
      </w:r>
    </w:p>
    <w:p>
      <w:pPr>
        <w:pStyle w:val="Compact"/>
        <w:numPr>
          <w:ilvl w:val="0"/>
          <w:numId w:val="1083"/>
        </w:numPr>
      </w:pPr>
      <w:r>
        <w:rPr>
          <w:b/>
          <w:bCs/>
        </w:rPr>
        <w:t xml:space="preserve">Local lineage path:</w:t>
      </w:r>
      <w:r>
        <w:t xml:space="preserve"> </w:t>
      </w:r>
      <w:r>
        <w:rPr>
          <w:rStyle w:val="VerbatimChar"/>
        </w:rPr>
        <w:t xml:space="preserve">/mnt/data/cache-poisoning-protocol.md</w:t>
      </w:r>
    </w:p>
    <w:bookmarkEnd w:id="334"/>
    <w:bookmarkStart w:id="335" w:name="g.18-economy-cadence"/>
    <w:p>
      <w:pPr>
        <w:pStyle w:val="Heading2"/>
      </w:pPr>
      <w:r>
        <w:t xml:space="preserve">G.18 Economy cadence</w:t>
      </w:r>
    </w:p>
    <w:p>
      <w:pPr>
        <w:pStyle w:val="Compact"/>
        <w:numPr>
          <w:ilvl w:val="0"/>
          <w:numId w:val="1084"/>
        </w:numPr>
      </w:pPr>
      <w:r>
        <w:rPr>
          <w:b/>
          <w:bCs/>
        </w:rPr>
        <w:t xml:space="preserve">Role:</w:t>
      </w:r>
      <w:r>
        <w:t xml:space="preserve"> </w:t>
      </w:r>
      <w:r>
        <w:t xml:space="preserve">native executable source</w:t>
      </w:r>
    </w:p>
    <w:p>
      <w:pPr>
        <w:pStyle w:val="Compact"/>
        <w:numPr>
          <w:ilvl w:val="0"/>
          <w:numId w:val="1084"/>
        </w:numPr>
      </w:pPr>
      <w:r>
        <w:rPr>
          <w:b/>
          <w:bCs/>
        </w:rPr>
        <w:t xml:space="preserve">Bytes:</w:t>
      </w:r>
      <w:r>
        <w:t xml:space="preserve"> </w:t>
      </w:r>
      <w:r>
        <w:t xml:space="preserve">20683</w:t>
      </w:r>
    </w:p>
    <w:p>
      <w:pPr>
        <w:pStyle w:val="Compact"/>
        <w:numPr>
          <w:ilvl w:val="0"/>
          <w:numId w:val="1084"/>
        </w:numPr>
      </w:pPr>
      <w:r>
        <w:rPr>
          <w:b/>
          <w:bCs/>
        </w:rPr>
        <w:t xml:space="preserve">SHA-256:</w:t>
      </w:r>
      <w:r>
        <w:t xml:space="preserve"> </w:t>
      </w:r>
      <w:r>
        <w:rPr>
          <w:rStyle w:val="VerbatimChar"/>
        </w:rPr>
        <w:t xml:space="preserve">b33950ed284848cf24d8fe70e07d6ab5606edab91742776ac7f5395050806b9a</w:t>
      </w:r>
    </w:p>
    <w:p>
      <w:pPr>
        <w:pStyle w:val="Compact"/>
        <w:numPr>
          <w:ilvl w:val="0"/>
          <w:numId w:val="1084"/>
        </w:numPr>
      </w:pPr>
      <w:r>
        <w:rPr>
          <w:b/>
          <w:bCs/>
        </w:rPr>
        <w:t xml:space="preserve">Local lineage path:</w:t>
      </w:r>
      <w:r>
        <w:t xml:space="preserve"> </w:t>
      </w:r>
      <w:r>
        <w:rPr>
          <w:rStyle w:val="VerbatimChar"/>
        </w:rPr>
        <w:t xml:space="preserve">/mnt/data/economy_cadence.py</w:t>
      </w:r>
    </w:p>
    <w:bookmarkEnd w:id="335"/>
    <w:bookmarkStart w:id="336" w:name="g.19-shadow-economy"/>
    <w:p>
      <w:pPr>
        <w:pStyle w:val="Heading2"/>
      </w:pPr>
      <w:r>
        <w:t xml:space="preserve">G.19 Shadow economy</w:t>
      </w:r>
    </w:p>
    <w:p>
      <w:pPr>
        <w:pStyle w:val="Compact"/>
        <w:numPr>
          <w:ilvl w:val="0"/>
          <w:numId w:val="1085"/>
        </w:numPr>
      </w:pPr>
      <w:r>
        <w:rPr>
          <w:b/>
          <w:bCs/>
        </w:rPr>
        <w:t xml:space="preserve">Role:</w:t>
      </w:r>
      <w:r>
        <w:t xml:space="preserve"> </w:t>
      </w:r>
      <w:r>
        <w:t xml:space="preserve">native executable source</w:t>
      </w:r>
    </w:p>
    <w:p>
      <w:pPr>
        <w:pStyle w:val="Compact"/>
        <w:numPr>
          <w:ilvl w:val="0"/>
          <w:numId w:val="1085"/>
        </w:numPr>
      </w:pPr>
      <w:r>
        <w:rPr>
          <w:b/>
          <w:bCs/>
        </w:rPr>
        <w:t xml:space="preserve">Bytes:</w:t>
      </w:r>
      <w:r>
        <w:t xml:space="preserve"> </w:t>
      </w:r>
      <w:r>
        <w:t xml:space="preserve">31870</w:t>
      </w:r>
    </w:p>
    <w:p>
      <w:pPr>
        <w:pStyle w:val="Compact"/>
        <w:numPr>
          <w:ilvl w:val="0"/>
          <w:numId w:val="1085"/>
        </w:numPr>
      </w:pPr>
      <w:r>
        <w:rPr>
          <w:b/>
          <w:bCs/>
        </w:rPr>
        <w:t xml:space="preserve">SHA-256:</w:t>
      </w:r>
      <w:r>
        <w:t xml:space="preserve"> </w:t>
      </w:r>
      <w:r>
        <w:rPr>
          <w:rStyle w:val="VerbatimChar"/>
        </w:rPr>
        <w:t xml:space="preserve">5c9c4c4f9136296ee8670ac905262e02d1b9ce22e373d5045dbb22c45468cc3f</w:t>
      </w:r>
    </w:p>
    <w:p>
      <w:pPr>
        <w:pStyle w:val="Compact"/>
        <w:numPr>
          <w:ilvl w:val="0"/>
          <w:numId w:val="1085"/>
        </w:numPr>
      </w:pPr>
      <w:r>
        <w:rPr>
          <w:b/>
          <w:bCs/>
        </w:rPr>
        <w:t xml:space="preserve">Local lineage path:</w:t>
      </w:r>
      <w:r>
        <w:t xml:space="preserve"> </w:t>
      </w:r>
      <w:r>
        <w:rPr>
          <w:rStyle w:val="VerbatimChar"/>
        </w:rPr>
        <w:t xml:space="preserve">/mnt/data/ccoin_shadow_economy.py</w:t>
      </w:r>
    </w:p>
    <w:bookmarkEnd w:id="336"/>
    <w:bookmarkStart w:id="337" w:name="g.20-visitor-pricing"/>
    <w:p>
      <w:pPr>
        <w:pStyle w:val="Heading2"/>
      </w:pPr>
      <w:r>
        <w:t xml:space="preserve">G.20 Visitor pricing</w:t>
      </w:r>
    </w:p>
    <w:p>
      <w:pPr>
        <w:pStyle w:val="Compact"/>
        <w:numPr>
          <w:ilvl w:val="0"/>
          <w:numId w:val="1086"/>
        </w:numPr>
      </w:pPr>
      <w:r>
        <w:rPr>
          <w:b/>
          <w:bCs/>
        </w:rPr>
        <w:t xml:space="preserve">Role:</w:t>
      </w:r>
      <w:r>
        <w:t xml:space="preserve"> </w:t>
      </w:r>
      <w:r>
        <w:t xml:space="preserve">native executable source</w:t>
      </w:r>
    </w:p>
    <w:p>
      <w:pPr>
        <w:pStyle w:val="Compact"/>
        <w:numPr>
          <w:ilvl w:val="0"/>
          <w:numId w:val="1086"/>
        </w:numPr>
      </w:pPr>
      <w:r>
        <w:rPr>
          <w:b/>
          <w:bCs/>
        </w:rPr>
        <w:t xml:space="preserve">Bytes:</w:t>
      </w:r>
      <w:r>
        <w:t xml:space="preserve"> </w:t>
      </w:r>
      <w:r>
        <w:t xml:space="preserve">24000</w:t>
      </w:r>
    </w:p>
    <w:p>
      <w:pPr>
        <w:pStyle w:val="Compact"/>
        <w:numPr>
          <w:ilvl w:val="0"/>
          <w:numId w:val="1086"/>
        </w:numPr>
      </w:pPr>
      <w:r>
        <w:rPr>
          <w:b/>
          <w:bCs/>
        </w:rPr>
        <w:t xml:space="preserve">SHA-256:</w:t>
      </w:r>
      <w:r>
        <w:t xml:space="preserve"> </w:t>
      </w:r>
      <w:r>
        <w:rPr>
          <w:rStyle w:val="VerbatimChar"/>
        </w:rPr>
        <w:t xml:space="preserve">f9eb925bdf92e4e5cfee605a568af3faa070ce02a3c36637c6490adb8aab0372</w:t>
      </w:r>
    </w:p>
    <w:p>
      <w:pPr>
        <w:pStyle w:val="Compact"/>
        <w:numPr>
          <w:ilvl w:val="0"/>
          <w:numId w:val="1086"/>
        </w:numPr>
      </w:pPr>
      <w:r>
        <w:rPr>
          <w:b/>
          <w:bCs/>
        </w:rPr>
        <w:t xml:space="preserve">Local lineage path:</w:t>
      </w:r>
      <w:r>
        <w:t xml:space="preserve"> </w:t>
      </w:r>
      <w:r>
        <w:rPr>
          <w:rStyle w:val="VerbatimChar"/>
        </w:rPr>
        <w:t xml:space="preserve">/mnt/data/visitor_economy_pricing.py</w:t>
      </w:r>
    </w:p>
    <w:bookmarkEnd w:id="337"/>
    <w:bookmarkStart w:id="338" w:name="g.21-municipal-remote-compute"/>
    <w:p>
      <w:pPr>
        <w:pStyle w:val="Heading2"/>
      </w:pPr>
      <w:r>
        <w:t xml:space="preserve">G.21 Municipal remote compute</w:t>
      </w:r>
    </w:p>
    <w:p>
      <w:pPr>
        <w:pStyle w:val="Compact"/>
        <w:numPr>
          <w:ilvl w:val="0"/>
          <w:numId w:val="1087"/>
        </w:numPr>
      </w:pPr>
      <w:r>
        <w:rPr>
          <w:b/>
          <w:bCs/>
        </w:rPr>
        <w:t xml:space="preserve">Role:</w:t>
      </w:r>
      <w:r>
        <w:t xml:space="preserve"> </w:t>
      </w:r>
      <w:r>
        <w:t xml:space="preserve">native source spec</w:t>
      </w:r>
    </w:p>
    <w:p>
      <w:pPr>
        <w:pStyle w:val="Compact"/>
        <w:numPr>
          <w:ilvl w:val="0"/>
          <w:numId w:val="1087"/>
        </w:numPr>
      </w:pPr>
      <w:r>
        <w:rPr>
          <w:b/>
          <w:bCs/>
        </w:rPr>
        <w:t xml:space="preserve">Bytes:</w:t>
      </w:r>
      <w:r>
        <w:t xml:space="preserve"> </w:t>
      </w:r>
      <w:r>
        <w:t xml:space="preserve">26360</w:t>
      </w:r>
    </w:p>
    <w:p>
      <w:pPr>
        <w:pStyle w:val="Compact"/>
        <w:numPr>
          <w:ilvl w:val="0"/>
          <w:numId w:val="1087"/>
        </w:numPr>
      </w:pPr>
      <w:r>
        <w:rPr>
          <w:b/>
          <w:bCs/>
        </w:rPr>
        <w:t xml:space="preserve">SHA-256:</w:t>
      </w:r>
      <w:r>
        <w:t xml:space="preserve"> </w:t>
      </w:r>
      <w:r>
        <w:rPr>
          <w:rStyle w:val="VerbatimChar"/>
        </w:rPr>
        <w:t xml:space="preserve">3a7a761f38e69c359d5f8a5d446ef0acd6eac70d9093d99ab9d17fa8ef94c8e8</w:t>
      </w:r>
    </w:p>
    <w:p>
      <w:pPr>
        <w:pStyle w:val="Compact"/>
        <w:numPr>
          <w:ilvl w:val="0"/>
          <w:numId w:val="1087"/>
        </w:numPr>
      </w:pPr>
      <w:r>
        <w:rPr>
          <w:b/>
          <w:bCs/>
        </w:rPr>
        <w:t xml:space="preserve">Local lineage path:</w:t>
      </w:r>
      <w:r>
        <w:t xml:space="preserve"> </w:t>
      </w:r>
      <w:r>
        <w:rPr>
          <w:rStyle w:val="VerbatimChar"/>
        </w:rPr>
        <w:t xml:space="preserve">/mnt/data/municipal-remote-compute-spec.md</w:t>
      </w:r>
    </w:p>
    <w:p>
      <w:pPr>
        <w:pStyle w:val="FirstParagraph"/>
      </w:pPr>
      <w:r>
        <w:t xml:space="preserve">Provenance establishes identity and ancestry. It does not independently prove every semantic claim in the source. Runtime readback and empirical scope remain separate.</w:t>
      </w:r>
    </w:p>
    <w:bookmarkEnd w:id="338"/>
    <w:bookmarkEnd w:id="339"/>
    <w:bookmarkStart w:id="365" w:name="X596fb072a9d9c617b52fefda5244cb51df42cb6"/>
    <w:p>
      <w:pPr>
        <w:pStyle w:val="Heading1"/>
      </w:pPr>
      <w:r>
        <w:t xml:space="preserve">Appendix H - Native module and schema map</w:t>
      </w:r>
    </w:p>
    <w:bookmarkStart w:id="340" w:name="h.2-biome.py"/>
    <w:p>
      <w:pPr>
        <w:pStyle w:val="Heading2"/>
      </w:pPr>
      <w:r>
        <w:t xml:space="preserve">H.2</w:t>
      </w:r>
      <w:r>
        <w:t xml:space="preserve"> </w:t>
      </w:r>
      <w:r>
        <w:rPr>
          <w:rStyle w:val="VerbatimChar"/>
        </w:rPr>
        <w:t xml:space="preserve">biome.py</w:t>
      </w:r>
    </w:p>
    <w:p>
      <w:pPr>
        <w:pStyle w:val="Compact"/>
        <w:numPr>
          <w:ilvl w:val="0"/>
          <w:numId w:val="1088"/>
        </w:numPr>
      </w:pPr>
      <w:r>
        <w:rPr>
          <w:b/>
          <w:bCs/>
        </w:rPr>
        <w:t xml:space="preserve">Bytes:</w:t>
      </w:r>
      <w:r>
        <w:t xml:space="preserve"> </w:t>
      </w:r>
      <w:r>
        <w:t xml:space="preserve">24399</w:t>
      </w:r>
    </w:p>
    <w:p>
      <w:pPr>
        <w:pStyle w:val="Compact"/>
        <w:numPr>
          <w:ilvl w:val="0"/>
          <w:numId w:val="1088"/>
        </w:numPr>
      </w:pPr>
      <w:r>
        <w:rPr>
          <w:b/>
          <w:bCs/>
        </w:rPr>
        <w:t xml:space="preserve">Declared classes:</w:t>
      </w:r>
      <w:r>
        <w:t xml:space="preserve"> </w:t>
      </w:r>
      <w:r>
        <w:t xml:space="preserve">BiomeConfig, VisitorNode, Bond, HealthSnapshot, BiomeRunResult, BiomeSimulation</w:t>
      </w:r>
    </w:p>
    <w:bookmarkEnd w:id="340"/>
    <w:bookmarkStart w:id="341" w:name="h.3-cables.py"/>
    <w:p>
      <w:pPr>
        <w:pStyle w:val="Heading2"/>
      </w:pPr>
      <w:r>
        <w:t xml:space="preserve">H.3</w:t>
      </w:r>
      <w:r>
        <w:t xml:space="preserve"> </w:t>
      </w:r>
      <w:r>
        <w:rPr>
          <w:rStyle w:val="VerbatimChar"/>
        </w:rPr>
        <w:t xml:space="preserve">cables.py</w:t>
      </w:r>
    </w:p>
    <w:p>
      <w:pPr>
        <w:pStyle w:val="Compact"/>
        <w:numPr>
          <w:ilvl w:val="0"/>
          <w:numId w:val="1089"/>
        </w:numPr>
      </w:pPr>
      <w:r>
        <w:rPr>
          <w:b/>
          <w:bCs/>
        </w:rPr>
        <w:t xml:space="preserve">Bytes:</w:t>
      </w:r>
      <w:r>
        <w:t xml:space="preserve"> </w:t>
      </w:r>
      <w:r>
        <w:t xml:space="preserve">9667</w:t>
      </w:r>
    </w:p>
    <w:p>
      <w:pPr>
        <w:pStyle w:val="Compact"/>
        <w:numPr>
          <w:ilvl w:val="0"/>
          <w:numId w:val="1089"/>
        </w:numPr>
      </w:pPr>
      <w:r>
        <w:rPr>
          <w:b/>
          <w:bCs/>
        </w:rPr>
        <w:t xml:space="preserve">Declared classes:</w:t>
      </w:r>
      <w:r>
        <w:t xml:space="preserve"> </w:t>
      </w:r>
      <w:r>
        <w:t xml:space="preserve">ClampKind, Cable, Clamp, WinchAdjustment, BlastRadius, CableNetwork</w:t>
      </w:r>
    </w:p>
    <w:bookmarkEnd w:id="341"/>
    <w:bookmarkStart w:id="342" w:name="h.4-cache.py"/>
    <w:p>
      <w:pPr>
        <w:pStyle w:val="Heading2"/>
      </w:pPr>
      <w:r>
        <w:t xml:space="preserve">H.4</w:t>
      </w:r>
      <w:r>
        <w:t xml:space="preserve"> </w:t>
      </w:r>
      <w:r>
        <w:rPr>
          <w:rStyle w:val="VerbatimChar"/>
        </w:rPr>
        <w:t xml:space="preserve">cache.py</w:t>
      </w:r>
    </w:p>
    <w:p>
      <w:pPr>
        <w:pStyle w:val="Compact"/>
        <w:numPr>
          <w:ilvl w:val="0"/>
          <w:numId w:val="1090"/>
        </w:numPr>
      </w:pPr>
      <w:r>
        <w:rPr>
          <w:b/>
          <w:bCs/>
        </w:rPr>
        <w:t xml:space="preserve">Bytes:</w:t>
      </w:r>
      <w:r>
        <w:t xml:space="preserve"> </w:t>
      </w:r>
      <w:r>
        <w:t xml:space="preserve">4743</w:t>
      </w:r>
    </w:p>
    <w:p>
      <w:pPr>
        <w:pStyle w:val="Compact"/>
        <w:numPr>
          <w:ilvl w:val="0"/>
          <w:numId w:val="1090"/>
        </w:numPr>
      </w:pPr>
      <w:r>
        <w:rPr>
          <w:b/>
          <w:bCs/>
        </w:rPr>
        <w:t xml:space="preserve">Declared classes:</w:t>
      </w:r>
      <w:r>
        <w:t xml:space="preserve"> </w:t>
      </w:r>
      <w:r>
        <w:t xml:space="preserve">CacheEntry, ContaminationAssessment, GovernedCache</w:t>
      </w:r>
    </w:p>
    <w:bookmarkEnd w:id="342"/>
    <w:bookmarkStart w:id="343" w:name="h.5-cli.py"/>
    <w:p>
      <w:pPr>
        <w:pStyle w:val="Heading2"/>
      </w:pPr>
      <w:r>
        <w:t xml:space="preserve">H.5</w:t>
      </w:r>
      <w:r>
        <w:t xml:space="preserve"> </w:t>
      </w:r>
      <w:r>
        <w:rPr>
          <w:rStyle w:val="VerbatimChar"/>
        </w:rPr>
        <w:t xml:space="preserve">cli.py</w:t>
      </w:r>
    </w:p>
    <w:p>
      <w:pPr>
        <w:pStyle w:val="Compact"/>
        <w:numPr>
          <w:ilvl w:val="0"/>
          <w:numId w:val="1091"/>
        </w:numPr>
      </w:pPr>
      <w:r>
        <w:rPr>
          <w:b/>
          <w:bCs/>
        </w:rPr>
        <w:t xml:space="preserve">Bytes:</w:t>
      </w:r>
      <w:r>
        <w:t xml:space="preserve"> </w:t>
      </w:r>
      <w:r>
        <w:t xml:space="preserve">1593</w:t>
      </w:r>
    </w:p>
    <w:p>
      <w:pPr>
        <w:pStyle w:val="Compact"/>
        <w:numPr>
          <w:ilvl w:val="0"/>
          <w:numId w:val="1091"/>
        </w:numPr>
      </w:pPr>
      <w:r>
        <w:rPr>
          <w:b/>
          <w:bCs/>
        </w:rPr>
        <w:t xml:space="preserve">Declared classes:</w:t>
      </w:r>
      <w:r>
        <w:t xml:space="preserve"> </w:t>
      </w:r>
      <w:r>
        <w:t xml:space="preserve">function/runtime surface</w:t>
      </w:r>
    </w:p>
    <w:bookmarkEnd w:id="343"/>
    <w:bookmarkStart w:id="344" w:name="h.6-economy.py"/>
    <w:p>
      <w:pPr>
        <w:pStyle w:val="Heading2"/>
      </w:pPr>
      <w:r>
        <w:t xml:space="preserve">H.6</w:t>
      </w:r>
      <w:r>
        <w:t xml:space="preserve"> </w:t>
      </w:r>
      <w:r>
        <w:rPr>
          <w:rStyle w:val="VerbatimChar"/>
        </w:rPr>
        <w:t xml:space="preserve">economy.py</w:t>
      </w:r>
    </w:p>
    <w:p>
      <w:pPr>
        <w:pStyle w:val="Compact"/>
        <w:numPr>
          <w:ilvl w:val="0"/>
          <w:numId w:val="1092"/>
        </w:numPr>
      </w:pPr>
      <w:r>
        <w:rPr>
          <w:b/>
          <w:bCs/>
        </w:rPr>
        <w:t xml:space="preserve">Bytes:</w:t>
      </w:r>
      <w:r>
        <w:t xml:space="preserve"> </w:t>
      </w:r>
      <w:r>
        <w:t xml:space="preserve">5190</w:t>
      </w:r>
    </w:p>
    <w:p>
      <w:pPr>
        <w:pStyle w:val="Compact"/>
        <w:numPr>
          <w:ilvl w:val="0"/>
          <w:numId w:val="1092"/>
        </w:numPr>
      </w:pPr>
      <w:r>
        <w:rPr>
          <w:b/>
          <w:bCs/>
        </w:rPr>
        <w:t xml:space="preserve">Declared classes:</w:t>
      </w:r>
      <w:r>
        <w:t xml:space="preserve"> </w:t>
      </w:r>
      <w:r>
        <w:t xml:space="preserve">SelftestResult, EconomyRun, LiveEconomyAdapter</w:t>
      </w:r>
    </w:p>
    <w:bookmarkEnd w:id="344"/>
    <w:bookmarkStart w:id="345" w:name="h.7-fables.py"/>
    <w:p>
      <w:pPr>
        <w:pStyle w:val="Heading2"/>
      </w:pPr>
      <w:r>
        <w:t xml:space="preserve">H.7</w:t>
      </w:r>
      <w:r>
        <w:t xml:space="preserve"> </w:t>
      </w:r>
      <w:r>
        <w:rPr>
          <w:rStyle w:val="VerbatimChar"/>
        </w:rPr>
        <w:t xml:space="preserve">fables.py</w:t>
      </w:r>
    </w:p>
    <w:p>
      <w:pPr>
        <w:pStyle w:val="Compact"/>
        <w:numPr>
          <w:ilvl w:val="0"/>
          <w:numId w:val="1093"/>
        </w:numPr>
      </w:pPr>
      <w:r>
        <w:rPr>
          <w:b/>
          <w:bCs/>
        </w:rPr>
        <w:t xml:space="preserve">Bytes:</w:t>
      </w:r>
      <w:r>
        <w:t xml:space="preserve"> </w:t>
      </w:r>
      <w:r>
        <w:t xml:space="preserve">6549</w:t>
      </w:r>
    </w:p>
    <w:p>
      <w:pPr>
        <w:pStyle w:val="Compact"/>
        <w:numPr>
          <w:ilvl w:val="0"/>
          <w:numId w:val="1093"/>
        </w:numPr>
      </w:pPr>
      <w:r>
        <w:rPr>
          <w:b/>
          <w:bCs/>
        </w:rPr>
        <w:t xml:space="preserve">Declared classes:</w:t>
      </w:r>
      <w:r>
        <w:t xml:space="preserve"> </w:t>
      </w:r>
      <w:r>
        <w:t xml:space="preserve">FableSignal, FableField</w:t>
      </w:r>
    </w:p>
    <w:bookmarkEnd w:id="345"/>
    <w:bookmarkStart w:id="346" w:name="h.8-federation.py"/>
    <w:p>
      <w:pPr>
        <w:pStyle w:val="Heading2"/>
      </w:pPr>
      <w:r>
        <w:t xml:space="preserve">H.8</w:t>
      </w:r>
      <w:r>
        <w:t xml:space="preserve"> </w:t>
      </w:r>
      <w:r>
        <w:rPr>
          <w:rStyle w:val="VerbatimChar"/>
        </w:rPr>
        <w:t xml:space="preserve">federation.py</w:t>
      </w:r>
    </w:p>
    <w:p>
      <w:pPr>
        <w:pStyle w:val="Compact"/>
        <w:numPr>
          <w:ilvl w:val="0"/>
          <w:numId w:val="1094"/>
        </w:numPr>
      </w:pPr>
      <w:r>
        <w:rPr>
          <w:b/>
          <w:bCs/>
        </w:rPr>
        <w:t xml:space="preserve">Bytes:</w:t>
      </w:r>
      <w:r>
        <w:t xml:space="preserve"> </w:t>
      </w:r>
      <w:r>
        <w:t xml:space="preserve">10363</w:t>
      </w:r>
    </w:p>
    <w:p>
      <w:pPr>
        <w:pStyle w:val="Compact"/>
        <w:numPr>
          <w:ilvl w:val="0"/>
          <w:numId w:val="1094"/>
        </w:numPr>
      </w:pPr>
      <w:r>
        <w:rPr>
          <w:b/>
          <w:bCs/>
        </w:rPr>
        <w:t xml:space="preserve">Declared classes:</w:t>
      </w:r>
      <w:r>
        <w:t xml:space="preserve"> </w:t>
      </w:r>
      <w:r>
        <w:t xml:space="preserve">FederationLayer, FederationNode, EstateContract, FederationManifest, ParentGate, ParentGateReport, UbiquityParentRuntime</w:t>
      </w:r>
    </w:p>
    <w:bookmarkEnd w:id="346"/>
    <w:bookmarkStart w:id="347" w:name="h.9-graph.py"/>
    <w:p>
      <w:pPr>
        <w:pStyle w:val="Heading2"/>
      </w:pPr>
      <w:r>
        <w:t xml:space="preserve">H.9</w:t>
      </w:r>
      <w:r>
        <w:t xml:space="preserve"> </w:t>
      </w:r>
      <w:r>
        <w:rPr>
          <w:rStyle w:val="VerbatimChar"/>
        </w:rPr>
        <w:t xml:space="preserve">graph.py</w:t>
      </w:r>
    </w:p>
    <w:p>
      <w:pPr>
        <w:pStyle w:val="Compact"/>
        <w:numPr>
          <w:ilvl w:val="0"/>
          <w:numId w:val="1095"/>
        </w:numPr>
      </w:pPr>
      <w:r>
        <w:rPr>
          <w:b/>
          <w:bCs/>
        </w:rPr>
        <w:t xml:space="preserve">Bytes:</w:t>
      </w:r>
      <w:r>
        <w:t xml:space="preserve"> </w:t>
      </w:r>
      <w:r>
        <w:t xml:space="preserve">19214</w:t>
      </w:r>
    </w:p>
    <w:p>
      <w:pPr>
        <w:pStyle w:val="Compact"/>
        <w:numPr>
          <w:ilvl w:val="0"/>
          <w:numId w:val="1095"/>
        </w:numPr>
      </w:pPr>
      <w:r>
        <w:rPr>
          <w:b/>
          <w:bCs/>
        </w:rPr>
        <w:t xml:space="preserve">Declared classes:</w:t>
      </w:r>
      <w:r>
        <w:t xml:space="preserve"> </w:t>
      </w:r>
      <w:r>
        <w:t xml:space="preserve">TransitionReceipt, QuiverDAGs</w:t>
      </w:r>
    </w:p>
    <w:bookmarkEnd w:id="347"/>
    <w:bookmarkStart w:id="348" w:name="h.10-hunger.py"/>
    <w:p>
      <w:pPr>
        <w:pStyle w:val="Heading2"/>
      </w:pPr>
      <w:r>
        <w:t xml:space="preserve">H.10</w:t>
      </w:r>
      <w:r>
        <w:t xml:space="preserve"> </w:t>
      </w:r>
      <w:r>
        <w:rPr>
          <w:rStyle w:val="VerbatimChar"/>
        </w:rPr>
        <w:t xml:space="preserve">hunger.py</w:t>
      </w:r>
    </w:p>
    <w:p>
      <w:pPr>
        <w:pStyle w:val="Compact"/>
        <w:numPr>
          <w:ilvl w:val="0"/>
          <w:numId w:val="1096"/>
        </w:numPr>
      </w:pPr>
      <w:r>
        <w:rPr>
          <w:b/>
          <w:bCs/>
        </w:rPr>
        <w:t xml:space="preserve">Bytes:</w:t>
      </w:r>
      <w:r>
        <w:t xml:space="preserve"> </w:t>
      </w:r>
      <w:r>
        <w:t xml:space="preserve">12757</w:t>
      </w:r>
    </w:p>
    <w:p>
      <w:pPr>
        <w:pStyle w:val="Compact"/>
        <w:numPr>
          <w:ilvl w:val="0"/>
          <w:numId w:val="1096"/>
        </w:numPr>
      </w:pPr>
      <w:r>
        <w:rPr>
          <w:b/>
          <w:bCs/>
        </w:rPr>
        <w:t xml:space="preserve">Declared classes:</w:t>
      </w:r>
      <w:r>
        <w:t xml:space="preserve"> </w:t>
      </w:r>
      <w:r>
        <w:t xml:space="preserve">HungerConfig, HungerAgent, HungerRunResult, HungerSimulation</w:t>
      </w:r>
    </w:p>
    <w:bookmarkEnd w:id="348"/>
    <w:bookmarkStart w:id="349" w:name="h.11-language.py"/>
    <w:p>
      <w:pPr>
        <w:pStyle w:val="Heading2"/>
      </w:pPr>
      <w:r>
        <w:t xml:space="preserve">H.11</w:t>
      </w:r>
      <w:r>
        <w:t xml:space="preserve"> </w:t>
      </w:r>
      <w:r>
        <w:rPr>
          <w:rStyle w:val="VerbatimChar"/>
        </w:rPr>
        <w:t xml:space="preserve">language.py</w:t>
      </w:r>
    </w:p>
    <w:p>
      <w:pPr>
        <w:pStyle w:val="Compact"/>
        <w:numPr>
          <w:ilvl w:val="0"/>
          <w:numId w:val="1097"/>
        </w:numPr>
      </w:pPr>
      <w:r>
        <w:rPr>
          <w:b/>
          <w:bCs/>
        </w:rPr>
        <w:t xml:space="preserve">Bytes:</w:t>
      </w:r>
      <w:r>
        <w:t xml:space="preserve"> </w:t>
      </w:r>
      <w:r>
        <w:t xml:space="preserve">4598</w:t>
      </w:r>
    </w:p>
    <w:p>
      <w:pPr>
        <w:pStyle w:val="Compact"/>
        <w:numPr>
          <w:ilvl w:val="0"/>
          <w:numId w:val="1097"/>
        </w:numPr>
      </w:pPr>
      <w:r>
        <w:rPr>
          <w:b/>
          <w:bCs/>
        </w:rPr>
        <w:t xml:space="preserve">Declared classes:</w:t>
      </w:r>
      <w:r>
        <w:t xml:space="preserve"> </w:t>
      </w:r>
      <w:r>
        <w:t xml:space="preserve">LanguageProjection, NaturalLanguageSliceCompiler</w:t>
      </w:r>
    </w:p>
    <w:bookmarkEnd w:id="349"/>
    <w:bookmarkStart w:id="350" w:name="h.12-lifecycle.py"/>
    <w:p>
      <w:pPr>
        <w:pStyle w:val="Heading2"/>
      </w:pPr>
      <w:r>
        <w:t xml:space="preserve">H.12</w:t>
      </w:r>
      <w:r>
        <w:t xml:space="preserve"> </w:t>
      </w:r>
      <w:r>
        <w:rPr>
          <w:rStyle w:val="VerbatimChar"/>
        </w:rPr>
        <w:t xml:space="preserve">lifecycle.py</w:t>
      </w:r>
    </w:p>
    <w:p>
      <w:pPr>
        <w:pStyle w:val="Compact"/>
        <w:numPr>
          <w:ilvl w:val="0"/>
          <w:numId w:val="1098"/>
        </w:numPr>
      </w:pPr>
      <w:r>
        <w:rPr>
          <w:b/>
          <w:bCs/>
        </w:rPr>
        <w:t xml:space="preserve">Bytes:</w:t>
      </w:r>
      <w:r>
        <w:t xml:space="preserve"> </w:t>
      </w:r>
      <w:r>
        <w:t xml:space="preserve">5684</w:t>
      </w:r>
    </w:p>
    <w:p>
      <w:pPr>
        <w:pStyle w:val="Compact"/>
        <w:numPr>
          <w:ilvl w:val="0"/>
          <w:numId w:val="1098"/>
        </w:numPr>
      </w:pPr>
      <w:r>
        <w:rPr>
          <w:b/>
          <w:bCs/>
        </w:rPr>
        <w:t xml:space="preserve">Declared classes:</w:t>
      </w:r>
      <w:r>
        <w:t xml:space="preserve"> </w:t>
      </w:r>
      <w:r>
        <w:t xml:space="preserve">LifecycleState, Citizen</w:t>
      </w:r>
    </w:p>
    <w:bookmarkEnd w:id="350"/>
    <w:bookmarkStart w:id="351" w:name="h.13-mission.py"/>
    <w:p>
      <w:pPr>
        <w:pStyle w:val="Heading2"/>
      </w:pPr>
      <w:r>
        <w:t xml:space="preserve">H.13</w:t>
      </w:r>
      <w:r>
        <w:t xml:space="preserve"> </w:t>
      </w:r>
      <w:r>
        <w:rPr>
          <w:rStyle w:val="VerbatimChar"/>
        </w:rPr>
        <w:t xml:space="preserve">mission.py</w:t>
      </w:r>
    </w:p>
    <w:p>
      <w:pPr>
        <w:pStyle w:val="Compact"/>
        <w:numPr>
          <w:ilvl w:val="0"/>
          <w:numId w:val="1099"/>
        </w:numPr>
      </w:pPr>
      <w:r>
        <w:rPr>
          <w:b/>
          <w:bCs/>
        </w:rPr>
        <w:t xml:space="preserve">Bytes:</w:t>
      </w:r>
      <w:r>
        <w:t xml:space="preserve"> </w:t>
      </w:r>
      <w:r>
        <w:t xml:space="preserve">8122</w:t>
      </w:r>
    </w:p>
    <w:p>
      <w:pPr>
        <w:pStyle w:val="Compact"/>
        <w:numPr>
          <w:ilvl w:val="0"/>
          <w:numId w:val="1099"/>
        </w:numPr>
      </w:pPr>
      <w:r>
        <w:rPr>
          <w:b/>
          <w:bCs/>
        </w:rPr>
        <w:t xml:space="preserve">Declared classes:</w:t>
      </w:r>
      <w:r>
        <w:t xml:space="preserve"> </w:t>
      </w:r>
      <w:r>
        <w:t xml:space="preserve">OperationalLane, LaneDisposition, MissionAxis, MissionLaneState, MissionGeometry</w:t>
      </w:r>
    </w:p>
    <w:bookmarkEnd w:id="351"/>
    <w:bookmarkStart w:id="352" w:name="h.14-observer.py"/>
    <w:p>
      <w:pPr>
        <w:pStyle w:val="Heading2"/>
      </w:pPr>
      <w:r>
        <w:t xml:space="preserve">H.14</w:t>
      </w:r>
      <w:r>
        <w:t xml:space="preserve"> </w:t>
      </w:r>
      <w:r>
        <w:rPr>
          <w:rStyle w:val="VerbatimChar"/>
        </w:rPr>
        <w:t xml:space="preserve">observer.py</w:t>
      </w:r>
    </w:p>
    <w:p>
      <w:pPr>
        <w:pStyle w:val="Compact"/>
        <w:numPr>
          <w:ilvl w:val="0"/>
          <w:numId w:val="1100"/>
        </w:numPr>
      </w:pPr>
      <w:r>
        <w:rPr>
          <w:b/>
          <w:bCs/>
        </w:rPr>
        <w:t xml:space="preserve">Bytes:</w:t>
      </w:r>
      <w:r>
        <w:t xml:space="preserve"> </w:t>
      </w:r>
      <w:r>
        <w:t xml:space="preserve">7799</w:t>
      </w:r>
    </w:p>
    <w:p>
      <w:pPr>
        <w:pStyle w:val="Compact"/>
        <w:numPr>
          <w:ilvl w:val="0"/>
          <w:numId w:val="1100"/>
        </w:numPr>
      </w:pPr>
      <w:r>
        <w:rPr>
          <w:b/>
          <w:bCs/>
        </w:rPr>
        <w:t xml:space="preserve">Declared classes:</w:t>
      </w:r>
      <w:r>
        <w:t xml:space="preserve"> </w:t>
      </w:r>
      <w:r>
        <w:t xml:space="preserve">PhysicalState, ObserverGeometry, SightState, ObserverClaim, StateDeclaration, ObserverIndexedState, ReactionReceipt</w:t>
      </w:r>
    </w:p>
    <w:bookmarkEnd w:id="352"/>
    <w:bookmarkStart w:id="353" w:name="h.15-range.py"/>
    <w:p>
      <w:pPr>
        <w:pStyle w:val="Heading2"/>
      </w:pPr>
      <w:r>
        <w:t xml:space="preserve">H.15</w:t>
      </w:r>
      <w:r>
        <w:t xml:space="preserve"> </w:t>
      </w:r>
      <w:r>
        <w:rPr>
          <w:rStyle w:val="VerbatimChar"/>
        </w:rPr>
        <w:t xml:space="preserve">range.py</w:t>
      </w:r>
    </w:p>
    <w:p>
      <w:pPr>
        <w:pStyle w:val="Compact"/>
        <w:numPr>
          <w:ilvl w:val="0"/>
          <w:numId w:val="1101"/>
        </w:numPr>
      </w:pPr>
      <w:r>
        <w:rPr>
          <w:b/>
          <w:bCs/>
        </w:rPr>
        <w:t xml:space="preserve">Bytes:</w:t>
      </w:r>
      <w:r>
        <w:t xml:space="preserve"> </w:t>
      </w:r>
      <w:r>
        <w:t xml:space="preserve">34115</w:t>
      </w:r>
    </w:p>
    <w:p>
      <w:pPr>
        <w:pStyle w:val="Compact"/>
        <w:numPr>
          <w:ilvl w:val="0"/>
          <w:numId w:val="1101"/>
        </w:numPr>
      </w:pPr>
      <w:r>
        <w:rPr>
          <w:b/>
          <w:bCs/>
        </w:rPr>
        <w:t xml:space="preserve">Declared classes:</w:t>
      </w:r>
      <w:r>
        <w:t xml:space="preserve"> </w:t>
      </w:r>
      <w:r>
        <w:t xml:space="preserve">RangeConfig, RangeRunResult, ForkedRange</w:t>
      </w:r>
    </w:p>
    <w:bookmarkEnd w:id="353"/>
    <w:bookmarkStart w:id="354" w:name="h.16-receipts.py"/>
    <w:p>
      <w:pPr>
        <w:pStyle w:val="Heading2"/>
      </w:pPr>
      <w:r>
        <w:t xml:space="preserve">H.16</w:t>
      </w:r>
      <w:r>
        <w:t xml:space="preserve"> </w:t>
      </w:r>
      <w:r>
        <w:rPr>
          <w:rStyle w:val="VerbatimChar"/>
        </w:rPr>
        <w:t xml:space="preserve">receipts.py</w:t>
      </w:r>
    </w:p>
    <w:p>
      <w:pPr>
        <w:pStyle w:val="Compact"/>
        <w:numPr>
          <w:ilvl w:val="0"/>
          <w:numId w:val="1102"/>
        </w:numPr>
      </w:pPr>
      <w:r>
        <w:rPr>
          <w:b/>
          <w:bCs/>
        </w:rPr>
        <w:t xml:space="preserve">Bytes:</w:t>
      </w:r>
      <w:r>
        <w:t xml:space="preserve"> </w:t>
      </w:r>
      <w:r>
        <w:t xml:space="preserve">3319</w:t>
      </w:r>
    </w:p>
    <w:p>
      <w:pPr>
        <w:pStyle w:val="Compact"/>
        <w:numPr>
          <w:ilvl w:val="0"/>
          <w:numId w:val="1102"/>
        </w:numPr>
      </w:pPr>
      <w:r>
        <w:rPr>
          <w:b/>
          <w:bCs/>
        </w:rPr>
        <w:t xml:space="preserve">Declared classes:</w:t>
      </w:r>
      <w:r>
        <w:t xml:space="preserve"> </w:t>
      </w:r>
      <w:r>
        <w:t xml:space="preserve">ReceiptStore</w:t>
      </w:r>
    </w:p>
    <w:bookmarkEnd w:id="354"/>
    <w:bookmarkStart w:id="355" w:name="h.17-responsibility.py"/>
    <w:p>
      <w:pPr>
        <w:pStyle w:val="Heading2"/>
      </w:pPr>
      <w:r>
        <w:t xml:space="preserve">H.17</w:t>
      </w:r>
      <w:r>
        <w:t xml:space="preserve"> </w:t>
      </w:r>
      <w:r>
        <w:rPr>
          <w:rStyle w:val="VerbatimChar"/>
        </w:rPr>
        <w:t xml:space="preserve">responsibility.py</w:t>
      </w:r>
    </w:p>
    <w:p>
      <w:pPr>
        <w:pStyle w:val="Compact"/>
        <w:numPr>
          <w:ilvl w:val="0"/>
          <w:numId w:val="1103"/>
        </w:numPr>
      </w:pPr>
      <w:r>
        <w:rPr>
          <w:b/>
          <w:bCs/>
        </w:rPr>
        <w:t xml:space="preserve">Bytes:</w:t>
      </w:r>
      <w:r>
        <w:t xml:space="preserve"> </w:t>
      </w:r>
      <w:r>
        <w:t xml:space="preserve">5396</w:t>
      </w:r>
    </w:p>
    <w:p>
      <w:pPr>
        <w:pStyle w:val="Compact"/>
        <w:numPr>
          <w:ilvl w:val="0"/>
          <w:numId w:val="1103"/>
        </w:numPr>
      </w:pPr>
      <w:r>
        <w:rPr>
          <w:b/>
          <w:bCs/>
        </w:rPr>
        <w:t xml:space="preserve">Declared classes:</w:t>
      </w:r>
      <w:r>
        <w:t xml:space="preserve"> </w:t>
      </w:r>
      <w:r>
        <w:t xml:space="preserve">ResponsibilityLoad, Clamp, Winch, PolarCable</w:t>
      </w:r>
    </w:p>
    <w:bookmarkEnd w:id="355"/>
    <w:bookmarkStart w:id="356" w:name="h.18-sensory.py"/>
    <w:p>
      <w:pPr>
        <w:pStyle w:val="Heading2"/>
      </w:pPr>
      <w:r>
        <w:t xml:space="preserve">H.18</w:t>
      </w:r>
      <w:r>
        <w:t xml:space="preserve"> </w:t>
      </w:r>
      <w:r>
        <w:rPr>
          <w:rStyle w:val="VerbatimChar"/>
        </w:rPr>
        <w:t xml:space="preserve">sensory.py</w:t>
      </w:r>
    </w:p>
    <w:p>
      <w:pPr>
        <w:pStyle w:val="Compact"/>
        <w:numPr>
          <w:ilvl w:val="0"/>
          <w:numId w:val="1104"/>
        </w:numPr>
      </w:pPr>
      <w:r>
        <w:rPr>
          <w:b/>
          <w:bCs/>
        </w:rPr>
        <w:t xml:space="preserve">Bytes:</w:t>
      </w:r>
      <w:r>
        <w:t xml:space="preserve"> </w:t>
      </w:r>
      <w:r>
        <w:t xml:space="preserve">5939</w:t>
      </w:r>
    </w:p>
    <w:p>
      <w:pPr>
        <w:pStyle w:val="Compact"/>
        <w:numPr>
          <w:ilvl w:val="0"/>
          <w:numId w:val="1104"/>
        </w:numPr>
      </w:pPr>
      <w:r>
        <w:rPr>
          <w:b/>
          <w:bCs/>
        </w:rPr>
        <w:t xml:space="preserve">Declared classes:</w:t>
      </w:r>
      <w:r>
        <w:t xml:space="preserve"> </w:t>
      </w:r>
      <w:r>
        <w:t xml:space="preserve">SensoryObservation, SensoryFinding, SensoryLane</w:t>
      </w:r>
    </w:p>
    <w:bookmarkEnd w:id="356"/>
    <w:bookmarkStart w:id="357" w:name="h.19-six_facet.py"/>
    <w:p>
      <w:pPr>
        <w:pStyle w:val="Heading2"/>
      </w:pPr>
      <w:r>
        <w:t xml:space="preserve">H.19</w:t>
      </w:r>
      <w:r>
        <w:t xml:space="preserve"> </w:t>
      </w:r>
      <w:r>
        <w:rPr>
          <w:rStyle w:val="VerbatimChar"/>
        </w:rPr>
        <w:t xml:space="preserve">six_facet.py</w:t>
      </w:r>
    </w:p>
    <w:p>
      <w:pPr>
        <w:pStyle w:val="Compact"/>
        <w:numPr>
          <w:ilvl w:val="0"/>
          <w:numId w:val="1105"/>
        </w:numPr>
      </w:pPr>
      <w:r>
        <w:rPr>
          <w:b/>
          <w:bCs/>
        </w:rPr>
        <w:t xml:space="preserve">Bytes:</w:t>
      </w:r>
      <w:r>
        <w:t xml:space="preserve"> </w:t>
      </w:r>
      <w:r>
        <w:t xml:space="preserve">10779</w:t>
      </w:r>
    </w:p>
    <w:p>
      <w:pPr>
        <w:pStyle w:val="Compact"/>
        <w:numPr>
          <w:ilvl w:val="0"/>
          <w:numId w:val="1105"/>
        </w:numPr>
      </w:pPr>
      <w:r>
        <w:rPr>
          <w:b/>
          <w:bCs/>
        </w:rPr>
        <w:t xml:space="preserve">Declared classes:</w:t>
      </w:r>
      <w:r>
        <w:t xml:space="preserve"> </w:t>
      </w:r>
      <w:r>
        <w:t xml:space="preserve">FacetExpansionPolicy, FacetInput, FacetLattice, SplatBuilder</w:t>
      </w:r>
    </w:p>
    <w:bookmarkEnd w:id="357"/>
    <w:bookmarkStart w:id="358" w:name="h.20-splat_runtime.py"/>
    <w:p>
      <w:pPr>
        <w:pStyle w:val="Heading2"/>
      </w:pPr>
      <w:r>
        <w:t xml:space="preserve">H.20</w:t>
      </w:r>
      <w:r>
        <w:t xml:space="preserve"> </w:t>
      </w:r>
      <w:r>
        <w:rPr>
          <w:rStyle w:val="VerbatimChar"/>
        </w:rPr>
        <w:t xml:space="preserve">splat_runtime.py</w:t>
      </w:r>
    </w:p>
    <w:p>
      <w:pPr>
        <w:pStyle w:val="Compact"/>
        <w:numPr>
          <w:ilvl w:val="0"/>
          <w:numId w:val="1106"/>
        </w:numPr>
      </w:pPr>
      <w:r>
        <w:rPr>
          <w:b/>
          <w:bCs/>
        </w:rPr>
        <w:t xml:space="preserve">Bytes:</w:t>
      </w:r>
      <w:r>
        <w:t xml:space="preserve"> </w:t>
      </w:r>
      <w:r>
        <w:t xml:space="preserve">4613</w:t>
      </w:r>
    </w:p>
    <w:p>
      <w:pPr>
        <w:pStyle w:val="Compact"/>
        <w:numPr>
          <w:ilvl w:val="0"/>
          <w:numId w:val="1106"/>
        </w:numPr>
      </w:pPr>
      <w:r>
        <w:rPr>
          <w:b/>
          <w:bCs/>
        </w:rPr>
        <w:t xml:space="preserve">Declared classes:</w:t>
      </w:r>
      <w:r>
        <w:t xml:space="preserve"> </w:t>
      </w:r>
      <w:r>
        <w:t xml:space="preserve">function/runtime surface</w:t>
      </w:r>
    </w:p>
    <w:bookmarkEnd w:id="358"/>
    <w:bookmarkStart w:id="359" w:name="h.21-suspension.py"/>
    <w:p>
      <w:pPr>
        <w:pStyle w:val="Heading2"/>
      </w:pPr>
      <w:r>
        <w:t xml:space="preserve">H.21</w:t>
      </w:r>
      <w:r>
        <w:t xml:space="preserve"> </w:t>
      </w:r>
      <w:r>
        <w:rPr>
          <w:rStyle w:val="VerbatimChar"/>
        </w:rPr>
        <w:t xml:space="preserve">suspension.py</w:t>
      </w:r>
    </w:p>
    <w:p>
      <w:pPr>
        <w:pStyle w:val="Compact"/>
        <w:numPr>
          <w:ilvl w:val="0"/>
          <w:numId w:val="1107"/>
        </w:numPr>
      </w:pPr>
      <w:r>
        <w:rPr>
          <w:b/>
          <w:bCs/>
        </w:rPr>
        <w:t xml:space="preserve">Bytes:</w:t>
      </w:r>
      <w:r>
        <w:t xml:space="preserve"> </w:t>
      </w:r>
      <w:r>
        <w:t xml:space="preserve">5204</w:t>
      </w:r>
    </w:p>
    <w:p>
      <w:pPr>
        <w:pStyle w:val="Compact"/>
        <w:numPr>
          <w:ilvl w:val="0"/>
          <w:numId w:val="1107"/>
        </w:numPr>
      </w:pPr>
      <w:r>
        <w:rPr>
          <w:b/>
          <w:bCs/>
        </w:rPr>
        <w:t xml:space="preserve">Declared classes:</w:t>
      </w:r>
      <w:r>
        <w:t xml:space="preserve"> </w:t>
      </w:r>
      <w:r>
        <w:t xml:space="preserve">SuspensionStatus, SuspensionEvent, SuspensionTicket, SuspensionLedger, SuspensionController</w:t>
      </w:r>
    </w:p>
    <w:bookmarkEnd w:id="359"/>
    <w:bookmarkStart w:id="360" w:name="h.22-terrain.py"/>
    <w:p>
      <w:pPr>
        <w:pStyle w:val="Heading2"/>
      </w:pPr>
      <w:r>
        <w:t xml:space="preserve">H.22</w:t>
      </w:r>
      <w:r>
        <w:t xml:space="preserve"> </w:t>
      </w:r>
      <w:r>
        <w:rPr>
          <w:rStyle w:val="VerbatimChar"/>
        </w:rPr>
        <w:t xml:space="preserve">terrain.py</w:t>
      </w:r>
    </w:p>
    <w:p>
      <w:pPr>
        <w:pStyle w:val="Compact"/>
        <w:numPr>
          <w:ilvl w:val="0"/>
          <w:numId w:val="1108"/>
        </w:numPr>
      </w:pPr>
      <w:r>
        <w:rPr>
          <w:b/>
          <w:bCs/>
        </w:rPr>
        <w:t xml:space="preserve">Bytes:</w:t>
      </w:r>
      <w:r>
        <w:t xml:space="preserve"> </w:t>
      </w:r>
      <w:r>
        <w:t xml:space="preserve">12548</w:t>
      </w:r>
    </w:p>
    <w:p>
      <w:pPr>
        <w:pStyle w:val="Compact"/>
        <w:numPr>
          <w:ilvl w:val="0"/>
          <w:numId w:val="1108"/>
        </w:numPr>
      </w:pPr>
      <w:r>
        <w:rPr>
          <w:b/>
          <w:bCs/>
        </w:rPr>
        <w:t xml:space="preserve">Declared classes:</w:t>
      </w:r>
      <w:r>
        <w:t xml:space="preserve"> </w:t>
      </w:r>
      <w:r>
        <w:t xml:space="preserve">TerrainShape, TerrainMemory, TerrainMatch, TrajectoryState, TerrainMatcher, TrajectoryTracker, TerrainAffinity, TerrainTrainingResult, TerrainTrainer</w:t>
      </w:r>
    </w:p>
    <w:bookmarkEnd w:id="360"/>
    <w:bookmarkStart w:id="361" w:name="h.23-threshold.py"/>
    <w:p>
      <w:pPr>
        <w:pStyle w:val="Heading2"/>
      </w:pPr>
      <w:r>
        <w:t xml:space="preserve">H.23</w:t>
      </w:r>
      <w:r>
        <w:t xml:space="preserve"> </w:t>
      </w:r>
      <w:r>
        <w:rPr>
          <w:rStyle w:val="VerbatimChar"/>
        </w:rPr>
        <w:t xml:space="preserve">threshold.py</w:t>
      </w:r>
    </w:p>
    <w:p>
      <w:pPr>
        <w:pStyle w:val="Compact"/>
        <w:numPr>
          <w:ilvl w:val="0"/>
          <w:numId w:val="1109"/>
        </w:numPr>
      </w:pPr>
      <w:r>
        <w:rPr>
          <w:b/>
          <w:bCs/>
        </w:rPr>
        <w:t xml:space="preserve">Bytes:</w:t>
      </w:r>
      <w:r>
        <w:t xml:space="preserve"> </w:t>
      </w:r>
      <w:r>
        <w:t xml:space="preserve">13314</w:t>
      </w:r>
    </w:p>
    <w:p>
      <w:pPr>
        <w:pStyle w:val="Compact"/>
        <w:numPr>
          <w:ilvl w:val="0"/>
          <w:numId w:val="1109"/>
        </w:numPr>
      </w:pPr>
      <w:r>
        <w:rPr>
          <w:b/>
          <w:bCs/>
        </w:rPr>
        <w:t xml:space="preserve">Declared classes:</w:t>
      </w:r>
      <w:r>
        <w:t xml:space="preserve"> </w:t>
      </w:r>
      <w:r>
        <w:t xml:space="preserve">ValidationFrame, ValidationResult, ThresholdEngine</w:t>
      </w:r>
    </w:p>
    <w:bookmarkEnd w:id="361"/>
    <w:bookmarkStart w:id="362" w:name="h.24-types.py"/>
    <w:p>
      <w:pPr>
        <w:pStyle w:val="Heading2"/>
      </w:pPr>
      <w:r>
        <w:t xml:space="preserve">H.24</w:t>
      </w:r>
      <w:r>
        <w:t xml:space="preserve"> </w:t>
      </w:r>
      <w:r>
        <w:rPr>
          <w:rStyle w:val="VerbatimChar"/>
        </w:rPr>
        <w:t xml:space="preserve">types.py</w:t>
      </w:r>
    </w:p>
    <w:p>
      <w:pPr>
        <w:pStyle w:val="Compact"/>
        <w:numPr>
          <w:ilvl w:val="0"/>
          <w:numId w:val="1110"/>
        </w:numPr>
      </w:pPr>
      <w:r>
        <w:rPr>
          <w:b/>
          <w:bCs/>
        </w:rPr>
        <w:t xml:space="preserve">Bytes:</w:t>
      </w:r>
      <w:r>
        <w:t xml:space="preserve"> </w:t>
      </w:r>
      <w:r>
        <w:t xml:space="preserve">11259</w:t>
      </w:r>
    </w:p>
    <w:p>
      <w:pPr>
        <w:pStyle w:val="Compact"/>
        <w:numPr>
          <w:ilvl w:val="0"/>
          <w:numId w:val="1110"/>
        </w:numPr>
      </w:pPr>
      <w:r>
        <w:rPr>
          <w:b/>
          <w:bCs/>
        </w:rPr>
        <w:t xml:space="preserve">Declared classes:</w:t>
      </w:r>
      <w:r>
        <w:t xml:space="preserve"> </w:t>
      </w:r>
      <w:r>
        <w:t xml:space="preserve">StrictModel, Facet, SourceTense, EvidenceLane, Disposition, TraversalAction, ResponsibilityClass, MissionScale, ConfidenceClass, EvidenceReceipt, AuthorityGrant, HumanAgencyState, MissionContext, FacetClaim, WorkingCentroid, HeldOpenCenter, Splat, StateCandidate, GateResult, TraversalDecision, TransitionProposal, CommitReceipt</w:t>
      </w:r>
    </w:p>
    <w:bookmarkEnd w:id="362"/>
    <w:bookmarkStart w:id="363" w:name="h.25-utils.py"/>
    <w:p>
      <w:pPr>
        <w:pStyle w:val="Heading2"/>
      </w:pPr>
      <w:r>
        <w:t xml:space="preserve">H.25</w:t>
      </w:r>
      <w:r>
        <w:t xml:space="preserve"> </w:t>
      </w:r>
      <w:r>
        <w:rPr>
          <w:rStyle w:val="VerbatimChar"/>
        </w:rPr>
        <w:t xml:space="preserve">utils.py</w:t>
      </w:r>
    </w:p>
    <w:p>
      <w:pPr>
        <w:pStyle w:val="Compact"/>
        <w:numPr>
          <w:ilvl w:val="0"/>
          <w:numId w:val="1111"/>
        </w:numPr>
      </w:pPr>
      <w:r>
        <w:rPr>
          <w:b/>
          <w:bCs/>
        </w:rPr>
        <w:t xml:space="preserve">Bytes:</w:t>
      </w:r>
      <w:r>
        <w:t xml:space="preserve"> </w:t>
      </w:r>
      <w:r>
        <w:t xml:space="preserve">3801</w:t>
      </w:r>
    </w:p>
    <w:p>
      <w:pPr>
        <w:pStyle w:val="Compact"/>
        <w:numPr>
          <w:ilvl w:val="0"/>
          <w:numId w:val="1111"/>
        </w:numPr>
      </w:pPr>
      <w:r>
        <w:rPr>
          <w:b/>
          <w:bCs/>
        </w:rPr>
        <w:t xml:space="preserve">Declared classes:</w:t>
      </w:r>
      <w:r>
        <w:t xml:space="preserve"> </w:t>
      </w:r>
      <w:r>
        <w:t xml:space="preserve">function/runtime surface</w:t>
      </w:r>
    </w:p>
    <w:bookmarkEnd w:id="363"/>
    <w:bookmarkStart w:id="364" w:name="h.s-schema-index"/>
    <w:p>
      <w:pPr>
        <w:pStyle w:val="Heading2"/>
      </w:pPr>
      <w:r>
        <w:t xml:space="preserve">H.S Schema index</w:t>
      </w:r>
    </w:p>
    <w:p>
      <w:pPr>
        <w:pStyle w:val="Compact"/>
        <w:numPr>
          <w:ilvl w:val="0"/>
          <w:numId w:val="1112"/>
        </w:numPr>
      </w:pPr>
      <w:r>
        <w:rPr>
          <w:rStyle w:val="VerbatimChar"/>
        </w:rPr>
        <w:t xml:space="preserve">biome_run.schema.json</w:t>
      </w:r>
      <w:r>
        <w:t xml:space="preserve"> </w:t>
      </w:r>
      <w:r>
        <w:t xml:space="preserve">- 5480 bytes</w:t>
      </w:r>
    </w:p>
    <w:p>
      <w:pPr>
        <w:pStyle w:val="Compact"/>
        <w:numPr>
          <w:ilvl w:val="0"/>
          <w:numId w:val="1112"/>
        </w:numPr>
      </w:pPr>
      <w:r>
        <w:rPr>
          <w:rStyle w:val="VerbatimChar"/>
        </w:rPr>
        <w:t xml:space="preserve">evidence_receipt.schema.json</w:t>
      </w:r>
      <w:r>
        <w:t xml:space="preserve"> </w:t>
      </w:r>
      <w:r>
        <w:t xml:space="preserve">- 2496 bytes</w:t>
      </w:r>
    </w:p>
    <w:p>
      <w:pPr>
        <w:pStyle w:val="Compact"/>
        <w:numPr>
          <w:ilvl w:val="0"/>
          <w:numId w:val="1112"/>
        </w:numPr>
      </w:pPr>
      <w:r>
        <w:rPr>
          <w:rStyle w:val="VerbatimChar"/>
        </w:rPr>
        <w:t xml:space="preserve">federation_manifest.schema.json</w:t>
      </w:r>
      <w:r>
        <w:t xml:space="preserve"> </w:t>
      </w:r>
      <w:r>
        <w:t xml:space="preserve">- 3804 bytes</w:t>
      </w:r>
    </w:p>
    <w:p>
      <w:pPr>
        <w:pStyle w:val="Compact"/>
        <w:numPr>
          <w:ilvl w:val="0"/>
          <w:numId w:val="1112"/>
        </w:numPr>
      </w:pPr>
      <w:r>
        <w:rPr>
          <w:rStyle w:val="VerbatimChar"/>
        </w:rPr>
        <w:t xml:space="preserve">hunger_run.schema.json</w:t>
      </w:r>
      <w:r>
        <w:t xml:space="preserve"> </w:t>
      </w:r>
      <w:r>
        <w:t xml:space="preserve">- 3093 bytes</w:t>
      </w:r>
    </w:p>
    <w:p>
      <w:pPr>
        <w:pStyle w:val="Compact"/>
        <w:numPr>
          <w:ilvl w:val="0"/>
          <w:numId w:val="1112"/>
        </w:numPr>
      </w:pPr>
      <w:r>
        <w:rPr>
          <w:rStyle w:val="VerbatimChar"/>
        </w:rPr>
        <w:t xml:space="preserve">language_projection.schema.json</w:t>
      </w:r>
      <w:r>
        <w:t xml:space="preserve"> </w:t>
      </w:r>
      <w:r>
        <w:t xml:space="preserve">- 1890 bytes</w:t>
      </w:r>
    </w:p>
    <w:p>
      <w:pPr>
        <w:pStyle w:val="Compact"/>
        <w:numPr>
          <w:ilvl w:val="0"/>
          <w:numId w:val="1112"/>
        </w:numPr>
      </w:pPr>
      <w:r>
        <w:rPr>
          <w:rStyle w:val="VerbatimChar"/>
        </w:rPr>
        <w:t xml:space="preserve">mission_context.schema.json</w:t>
      </w:r>
      <w:r>
        <w:t xml:space="preserve"> </w:t>
      </w:r>
      <w:r>
        <w:t xml:space="preserve">- 3194 bytes</w:t>
      </w:r>
    </w:p>
    <w:p>
      <w:pPr>
        <w:pStyle w:val="Compact"/>
        <w:numPr>
          <w:ilvl w:val="0"/>
          <w:numId w:val="1112"/>
        </w:numPr>
      </w:pPr>
      <w:r>
        <w:rPr>
          <w:rStyle w:val="VerbatimChar"/>
        </w:rPr>
        <w:t xml:space="preserve">mission_geometry.schema.json</w:t>
      </w:r>
      <w:r>
        <w:t xml:space="preserve"> </w:t>
      </w:r>
      <w:r>
        <w:t xml:space="preserve">- 3811 bytes</w:t>
      </w:r>
    </w:p>
    <w:p>
      <w:pPr>
        <w:pStyle w:val="Compact"/>
        <w:numPr>
          <w:ilvl w:val="0"/>
          <w:numId w:val="1112"/>
        </w:numPr>
      </w:pPr>
      <w:r>
        <w:rPr>
          <w:rStyle w:val="VerbatimChar"/>
        </w:rPr>
        <w:t xml:space="preserve">parent_gate_report.schema.json</w:t>
      </w:r>
      <w:r>
        <w:t xml:space="preserve"> </w:t>
      </w:r>
      <w:r>
        <w:t xml:space="preserve">- 1466 bytes</w:t>
      </w:r>
    </w:p>
    <w:p>
      <w:pPr>
        <w:pStyle w:val="Compact"/>
        <w:numPr>
          <w:ilvl w:val="0"/>
          <w:numId w:val="1112"/>
        </w:numPr>
      </w:pPr>
      <w:r>
        <w:rPr>
          <w:rStyle w:val="VerbatimChar"/>
        </w:rPr>
        <w:t xml:space="preserve">range_run.schema.json</w:t>
      </w:r>
      <w:r>
        <w:t xml:space="preserve"> </w:t>
      </w:r>
      <w:r>
        <w:t xml:space="preserve">- 47958 bytes</w:t>
      </w:r>
    </w:p>
    <w:p>
      <w:pPr>
        <w:pStyle w:val="Compact"/>
        <w:numPr>
          <w:ilvl w:val="0"/>
          <w:numId w:val="1112"/>
        </w:numPr>
      </w:pPr>
      <w:r>
        <w:rPr>
          <w:rStyle w:val="VerbatimChar"/>
        </w:rPr>
        <w:t xml:space="preserve">schema_index.json</w:t>
      </w:r>
      <w:r>
        <w:t xml:space="preserve"> </w:t>
      </w:r>
      <w:r>
        <w:t xml:space="preserve">- 1754 bytes</w:t>
      </w:r>
    </w:p>
    <w:p>
      <w:pPr>
        <w:pStyle w:val="Compact"/>
        <w:numPr>
          <w:ilvl w:val="0"/>
          <w:numId w:val="1112"/>
        </w:numPr>
      </w:pPr>
      <w:r>
        <w:rPr>
          <w:rStyle w:val="VerbatimChar"/>
        </w:rPr>
        <w:t xml:space="preserve">sight_state.schema.json</w:t>
      </w:r>
      <w:r>
        <w:t xml:space="preserve"> </w:t>
      </w:r>
      <w:r>
        <w:t xml:space="preserve">- 3046 bytes</w:t>
      </w:r>
    </w:p>
    <w:p>
      <w:pPr>
        <w:pStyle w:val="Compact"/>
        <w:numPr>
          <w:ilvl w:val="0"/>
          <w:numId w:val="1112"/>
        </w:numPr>
      </w:pPr>
      <w:r>
        <w:rPr>
          <w:rStyle w:val="VerbatimChar"/>
        </w:rPr>
        <w:t xml:space="preserve">splat.schema.json</w:t>
      </w:r>
      <w:r>
        <w:t xml:space="preserve"> </w:t>
      </w:r>
      <w:r>
        <w:t xml:space="preserve">- 8894 bytes</w:t>
      </w:r>
    </w:p>
    <w:p>
      <w:pPr>
        <w:pStyle w:val="Compact"/>
        <w:numPr>
          <w:ilvl w:val="0"/>
          <w:numId w:val="1112"/>
        </w:numPr>
      </w:pPr>
      <w:r>
        <w:rPr>
          <w:rStyle w:val="VerbatimChar"/>
        </w:rPr>
        <w:t xml:space="preserve">suspension_ledger.schema.json</w:t>
      </w:r>
      <w:r>
        <w:t xml:space="preserve"> </w:t>
      </w:r>
      <w:r>
        <w:t xml:space="preserve">- 4938 bytes</w:t>
      </w:r>
    </w:p>
    <w:p>
      <w:pPr>
        <w:pStyle w:val="Compact"/>
        <w:numPr>
          <w:ilvl w:val="0"/>
          <w:numId w:val="1112"/>
        </w:numPr>
      </w:pPr>
      <w:r>
        <w:rPr>
          <w:rStyle w:val="VerbatimChar"/>
        </w:rPr>
        <w:t xml:space="preserve">terrain_shape.schema.json</w:t>
      </w:r>
      <w:r>
        <w:t xml:space="preserve"> </w:t>
      </w:r>
      <w:r>
        <w:t xml:space="preserve">- 1124 bytes</w:t>
      </w:r>
    </w:p>
    <w:p>
      <w:pPr>
        <w:pStyle w:val="Compact"/>
        <w:numPr>
          <w:ilvl w:val="0"/>
          <w:numId w:val="1112"/>
        </w:numPr>
      </w:pPr>
      <w:r>
        <w:rPr>
          <w:rStyle w:val="VerbatimChar"/>
        </w:rPr>
        <w:t xml:space="preserve">validation_frame.schema.json</w:t>
      </w:r>
      <w:r>
        <w:t xml:space="preserve"> </w:t>
      </w:r>
      <w:r>
        <w:t xml:space="preserve">- 28822 bytes</w:t>
      </w:r>
    </w:p>
    <w:p>
      <w:pPr>
        <w:pStyle w:val="Compact"/>
        <w:numPr>
          <w:ilvl w:val="0"/>
          <w:numId w:val="1112"/>
        </w:numPr>
      </w:pPr>
      <w:r>
        <w:rPr>
          <w:rStyle w:val="VerbatimChar"/>
        </w:rPr>
        <w:t xml:space="preserve">validation_result.schema.json</w:t>
      </w:r>
      <w:r>
        <w:t xml:space="preserve"> </w:t>
      </w:r>
      <w:r>
        <w:t xml:space="preserve">- 9144 bytes</w:t>
      </w:r>
    </w:p>
    <w:p>
      <w:pPr>
        <w:pStyle w:val="FirstParagraph"/>
      </w:pPr>
      <w:r>
        <w:t xml:space="preserve">The complete machine-readable schemas ship beside this paper. The paper summarizes their constitutional fields; JSON remains the validation surface.</w:t>
      </w:r>
    </w:p>
    <w:bookmarkEnd w:id="364"/>
    <w:bookmarkEnd w:id="365"/>
    <w:bookmarkStart w:id="414" w:name="appendix-i---glossary"/>
    <w:p>
      <w:pPr>
        <w:pStyle w:val="Heading1"/>
      </w:pPr>
      <w:r>
        <w:t xml:space="preserve">Appendix I - Glossary</w:t>
      </w:r>
    </w:p>
    <w:bookmarkStart w:id="366" w:name="i.1-apo"/>
    <w:p>
      <w:pPr>
        <w:pStyle w:val="Heading2"/>
      </w:pPr>
      <w:r>
        <w:t xml:space="preserve">I.1 APO</w:t>
      </w:r>
    </w:p>
    <w:p>
      <w:pPr>
        <w:pStyle w:val="FirstParagraph"/>
      </w:pPr>
      <w:r>
        <w:t xml:space="preserve">The facet that states forbidden assumptions, imports, exposures, collapses, and crowns.</w:t>
      </w:r>
    </w:p>
    <w:bookmarkEnd w:id="366"/>
    <w:bookmarkStart w:id="367" w:name="i.2-absorber"/>
    <w:p>
      <w:pPr>
        <w:pStyle w:val="Heading2"/>
      </w:pPr>
      <w:r>
        <w:t xml:space="preserve">I.2 Absorber</w:t>
      </w:r>
    </w:p>
    <w:p>
      <w:pPr>
        <w:pStyle w:val="FirstParagraph"/>
      </w:pPr>
      <w:r>
        <w:t xml:space="preserve">A reversible mechanism that converts dangerous pressure into bounded review, rollback, sandbox, or staged motion.</w:t>
      </w:r>
    </w:p>
    <w:bookmarkEnd w:id="367"/>
    <w:bookmarkStart w:id="368" w:name="i.3-action-clamp"/>
    <w:p>
      <w:pPr>
        <w:pStyle w:val="Heading2"/>
      </w:pPr>
      <w:r>
        <w:t xml:space="preserve">I.3 Action clamp</w:t>
      </w:r>
    </w:p>
    <w:p>
      <w:pPr>
        <w:pStyle w:val="FirstParagraph"/>
      </w:pPr>
      <w:r>
        <w:t xml:space="preserve">A gate that prevents a transition before scoped release conditions are met.</w:t>
      </w:r>
    </w:p>
    <w:bookmarkEnd w:id="368"/>
    <w:bookmarkStart w:id="369" w:name="i.4-agency-envelope"/>
    <w:p>
      <w:pPr>
        <w:pStyle w:val="Heading2"/>
      </w:pPr>
      <w:r>
        <w:t xml:space="preserve">I.4 Agency envelope</w:t>
      </w:r>
    </w:p>
    <w:p>
      <w:pPr>
        <w:pStyle w:val="FirstParagraph"/>
      </w:pPr>
      <w:r>
        <w:t xml:space="preserve">The actual inspection, challenge, alternative, delay, reversal, and correction capacities available to a human actor.</w:t>
      </w:r>
    </w:p>
    <w:bookmarkEnd w:id="369"/>
    <w:bookmarkStart w:id="370" w:name="i.5-blast-radius"/>
    <w:p>
      <w:pPr>
        <w:pStyle w:val="Heading2"/>
      </w:pPr>
      <w:r>
        <w:t xml:space="preserve">I.5 Blast radius</w:t>
      </w:r>
    </w:p>
    <w:p>
      <w:pPr>
        <w:pStyle w:val="FirstParagraph"/>
      </w:pPr>
      <w:r>
        <w:t xml:space="preserve">The known and estimated set of states, actors, resources, and horizons that may inherit a transition.</w:t>
      </w:r>
    </w:p>
    <w:bookmarkEnd w:id="370"/>
    <w:bookmarkStart w:id="371" w:name="i.6-cable"/>
    <w:p>
      <w:pPr>
        <w:pStyle w:val="Heading2"/>
      </w:pPr>
      <w:r>
        <w:t xml:space="preserve">I.6 Cable</w:t>
      </w:r>
    </w:p>
    <w:p>
      <w:pPr>
        <w:pStyle w:val="FirstParagraph"/>
      </w:pPr>
      <w:r>
        <w:t xml:space="preserve">A typed load-bearing relation carrying tension between facets, horizons, authorities, or risks.</w:t>
      </w:r>
    </w:p>
    <w:bookmarkEnd w:id="371"/>
    <w:bookmarkStart w:id="372" w:name="i.7-canonical-intent"/>
    <w:p>
      <w:pPr>
        <w:pStyle w:val="Heading2"/>
      </w:pPr>
      <w:r>
        <w:t xml:space="preserve">I.7 Canonical intent</w:t>
      </w:r>
    </w:p>
    <w:p>
      <w:pPr>
        <w:pStyle w:val="FirstParagraph"/>
      </w:pPr>
      <w:r>
        <w:t xml:space="preserve">An authoritative statement of intended behavior, distinct from loaded runtime behavior.</w:t>
      </w:r>
    </w:p>
    <w:bookmarkEnd w:id="372"/>
    <w:bookmarkStart w:id="373" w:name="i.8-center-exclusion"/>
    <w:p>
      <w:pPr>
        <w:pStyle w:val="Heading2"/>
      </w:pPr>
      <w:r>
        <w:t xml:space="preserve">I.8 Center exclusion</w:t>
      </w:r>
    </w:p>
    <w:p>
      <w:pPr>
        <w:pStyle w:val="FirstParagraph"/>
      </w:pPr>
      <w:r>
        <w:t xml:space="preserve">The rule that the held-open center is not an inhabitable, trainable, routeable, mutable, or terminal state.</w:t>
      </w:r>
    </w:p>
    <w:bookmarkEnd w:id="373"/>
    <w:bookmarkStart w:id="374" w:name="i.9-citizen"/>
    <w:p>
      <w:pPr>
        <w:pStyle w:val="Heading2"/>
      </w:pPr>
      <w:r>
        <w:t xml:space="preserve">I.9 Citizen</w:t>
      </w:r>
    </w:p>
    <w:p>
      <w:pPr>
        <w:pStyle w:val="FirstParagraph"/>
      </w:pPr>
      <w:r>
        <w:t xml:space="preserve">A lifecycle-bearing artifact or actor with identity, lineage, authority, maturity, and telos.</w:t>
      </w:r>
    </w:p>
    <w:bookmarkEnd w:id="374"/>
    <w:bookmarkStart w:id="375" w:name="i.10-conformation"/>
    <w:p>
      <w:pPr>
        <w:pStyle w:val="Heading2"/>
      </w:pPr>
      <w:r>
        <w:t xml:space="preserve">I.10 Conformation</w:t>
      </w:r>
    </w:p>
    <w:p>
      <w:pPr>
        <w:pStyle w:val="FirstParagraph"/>
      </w:pPr>
      <w:r>
        <w:t xml:space="preserve">Agreement of a claim with the evidence, authority, currentness, lifecycle, and constraints required by its lane.</w:t>
      </w:r>
    </w:p>
    <w:bookmarkEnd w:id="375"/>
    <w:bookmarkStart w:id="376" w:name="i.11-correction-debt"/>
    <w:p>
      <w:pPr>
        <w:pStyle w:val="Heading2"/>
      </w:pPr>
      <w:r>
        <w:t xml:space="preserve">I.11 Correction debt</w:t>
      </w:r>
    </w:p>
    <w:p>
      <w:pPr>
        <w:pStyle w:val="FirstParagraph"/>
      </w:pPr>
      <w:r>
        <w:t xml:space="preserve">The downstream burden created when a state was accepted before adequate conformation or later became stale.</w:t>
      </w:r>
    </w:p>
    <w:bookmarkEnd w:id="376"/>
    <w:bookmarkStart w:id="377" w:name="i.12-dag-of-dags"/>
    <w:p>
      <w:pPr>
        <w:pStyle w:val="Heading2"/>
      </w:pPr>
      <w:r>
        <w:t xml:space="preserve">I.12 DAG of DAGs</w:t>
      </w:r>
    </w:p>
    <w:p>
      <w:pPr>
        <w:pStyle w:val="FirstParagraph"/>
      </w:pPr>
      <w:r>
        <w:t xml:space="preserve">Typed local dependency graphs connected by cross-graph joins and governed by a meta-DAG.</w:t>
      </w:r>
    </w:p>
    <w:bookmarkEnd w:id="377"/>
    <w:bookmarkStart w:id="378" w:name="i.13-delay-clamp"/>
    <w:p>
      <w:pPr>
        <w:pStyle w:val="Heading2"/>
      </w:pPr>
      <w:r>
        <w:t xml:space="preserve">I.13 Delay clamp</w:t>
      </w:r>
    </w:p>
    <w:p>
      <w:pPr>
        <w:pStyle w:val="FirstParagraph"/>
      </w:pPr>
      <w:r>
        <w:t xml:space="preserve">A gate preventing suspension after delay becomes the greater lawful harm.</w:t>
      </w:r>
    </w:p>
    <w:bookmarkEnd w:id="378"/>
    <w:bookmarkStart w:id="379" w:name="i.14-disposition"/>
    <w:p>
      <w:pPr>
        <w:pStyle w:val="Heading2"/>
      </w:pPr>
      <w:r>
        <w:t xml:space="preserve">I.14 Disposition</w:t>
      </w:r>
    </w:p>
    <w:p>
      <w:pPr>
        <w:pStyle w:val="FirstParagraph"/>
      </w:pPr>
      <w:r>
        <w:t xml:space="preserve">A typed state such as live, deferred, suspended, excluded, localized, disproven, stable, declared, or reopened.</w:t>
      </w:r>
    </w:p>
    <w:bookmarkEnd w:id="379"/>
    <w:bookmarkStart w:id="380" w:name="i.15-ena"/>
    <w:p>
      <w:pPr>
        <w:pStyle w:val="Heading2"/>
      </w:pPr>
      <w:r>
        <w:t xml:space="preserve">I.15 ENA</w:t>
      </w:r>
    </w:p>
    <w:p>
      <w:pPr>
        <w:pStyle w:val="FirstParagraph"/>
      </w:pPr>
      <w:r>
        <w:t xml:space="preserve">The facet that models failure, inversion, overuse, underuse, and false-looking-correct states.</w:t>
      </w:r>
    </w:p>
    <w:bookmarkEnd w:id="380"/>
    <w:bookmarkStart w:id="381" w:name="i.16-ecotone-post"/>
    <w:p>
      <w:pPr>
        <w:pStyle w:val="Heading2"/>
      </w:pPr>
      <w:r>
        <w:t xml:space="preserve">I.16 Ecotone post</w:t>
      </w:r>
    </w:p>
    <w:p>
      <w:pPr>
        <w:pStyle w:val="FirstParagraph"/>
      </w:pPr>
      <w:r>
        <w:t xml:space="preserve">A dual-accountable governance entity that issues and validates cross-biome visas.</w:t>
      </w:r>
    </w:p>
    <w:bookmarkEnd w:id="381"/>
    <w:bookmarkStart w:id="382" w:name="i.17-evidence-lane"/>
    <w:p>
      <w:pPr>
        <w:pStyle w:val="Heading2"/>
      </w:pPr>
      <w:r>
        <w:t xml:space="preserve">I.17 Evidence lane</w:t>
      </w:r>
    </w:p>
    <w:p>
      <w:pPr>
        <w:pStyle w:val="FirstParagraph"/>
      </w:pPr>
      <w:r>
        <w:t xml:space="preserve">A typed evidentiary domain such as physical, temporal, authority, economic, human, sensory, or runtime.</w:t>
      </w:r>
    </w:p>
    <w:bookmarkEnd w:id="382"/>
    <w:bookmarkStart w:id="383" w:name="i.18-fqoq"/>
    <w:p>
      <w:pPr>
        <w:pStyle w:val="Heading2"/>
      </w:pPr>
      <w:r>
        <w:t xml:space="preserve">I.18 FQoQ</w:t>
      </w:r>
    </w:p>
    <w:p>
      <w:pPr>
        <w:pStyle w:val="FirstParagraph"/>
      </w:pPr>
      <w:r>
        <w:t xml:space="preserve">Fractal Quivers of Quivers, the parent lawful-motion and governance substrate.</w:t>
      </w:r>
    </w:p>
    <w:bookmarkEnd w:id="383"/>
    <w:bookmarkStart w:id="384" w:name="i.19-fable-splat"/>
    <w:p>
      <w:pPr>
        <w:pStyle w:val="Heading2"/>
      </w:pPr>
      <w:r>
        <w:t xml:space="preserve">I.19 Fable splat</w:t>
      </w:r>
    </w:p>
    <w:p>
      <w:pPr>
        <w:pStyle w:val="FirstParagraph"/>
      </w:pPr>
      <w:r>
        <w:t xml:space="preserve">A compact trajectory topology carrying wisdom, caution, PONR, anchors, and forbidden paths.</w:t>
      </w:r>
    </w:p>
    <w:bookmarkEnd w:id="384"/>
    <w:bookmarkStart w:id="385" w:name="i.20-fuse"/>
    <w:p>
      <w:pPr>
        <w:pStyle w:val="Heading2"/>
      </w:pPr>
      <w:r>
        <w:t xml:space="preserve">I.20 Fuse</w:t>
      </w:r>
    </w:p>
    <w:p>
      <w:pPr>
        <w:pStyle w:val="FirstParagraph"/>
      </w:pPr>
      <w:r>
        <w:t xml:space="preserve">A mechanism that stops unsupported state from propagating when an upstream invariant fails.</w:t>
      </w:r>
    </w:p>
    <w:bookmarkEnd w:id="385"/>
    <w:bookmarkStart w:id="386" w:name="i.21-held-anchor"/>
    <w:p>
      <w:pPr>
        <w:pStyle w:val="Heading2"/>
      </w:pPr>
      <w:r>
        <w:t xml:space="preserve">I.21 Held anchor</w:t>
      </w:r>
    </w:p>
    <w:p>
      <w:pPr>
        <w:pStyle w:val="FirstParagraph"/>
      </w:pPr>
      <w:r>
        <w:t xml:space="preserve">A reference value the periphery may observe and orbit but not mutate.</w:t>
      </w:r>
    </w:p>
    <w:bookmarkEnd w:id="386"/>
    <w:bookmarkStart w:id="387" w:name="i.22-held-open-center"/>
    <w:p>
      <w:pPr>
        <w:pStyle w:val="Heading2"/>
      </w:pPr>
      <w:r>
        <w:t xml:space="preserve">I.22 Held-open center</w:t>
      </w:r>
    </w:p>
    <w:p>
      <w:pPr>
        <w:pStyle w:val="FirstParagraph"/>
      </w:pPr>
      <w:r>
        <w:t xml:space="preserve">A non-inhabitable marker preventing working interpretations from becoming total authority.</w:t>
      </w:r>
    </w:p>
    <w:bookmarkEnd w:id="387"/>
    <w:bookmarkStart w:id="388" w:name="i.23-horizon"/>
    <w:p>
      <w:pPr>
        <w:pStyle w:val="Heading2"/>
      </w:pPr>
      <w:r>
        <w:t xml:space="preserve">I.23 Horizon</w:t>
      </w:r>
    </w:p>
    <w:p>
      <w:pPr>
        <w:pStyle w:val="FirstParagraph"/>
      </w:pPr>
      <w:r>
        <w:t xml:space="preserve">A distinct purpose and authority scale such as task, mission, battle, campaign, war, or institution.</w:t>
      </w:r>
    </w:p>
    <w:bookmarkEnd w:id="388"/>
    <w:bookmarkStart w:id="389" w:name="i.24-kat"/>
    <w:p>
      <w:pPr>
        <w:pStyle w:val="Heading2"/>
      </w:pPr>
      <w:r>
        <w:t xml:space="preserve">I.24 KAT</w:t>
      </w:r>
    </w:p>
    <w:p>
      <w:pPr>
        <w:pStyle w:val="FirstParagraph"/>
      </w:pPr>
      <w:r>
        <w:t xml:space="preserve">The facet that states positively established structure under declared source-tense and scope.</w:t>
      </w:r>
    </w:p>
    <w:bookmarkEnd w:id="389"/>
    <w:bookmarkStart w:id="390" w:name="i.25-lawful-traversal"/>
    <w:p>
      <w:pPr>
        <w:pStyle w:val="Heading2"/>
      </w:pPr>
      <w:r>
        <w:t xml:space="preserve">I.25 Lawful traversal</w:t>
      </w:r>
    </w:p>
    <w:p>
      <w:pPr>
        <w:pStyle w:val="FirstParagraph"/>
      </w:pPr>
      <w:r>
        <w:t xml:space="preserve">The set of paths that remain admissible after governing constraints are applied.</w:t>
      </w:r>
    </w:p>
    <w:bookmarkEnd w:id="390"/>
    <w:bookmarkStart w:id="391" w:name="i.26-lineage-map"/>
    <w:p>
      <w:pPr>
        <w:pStyle w:val="Heading2"/>
      </w:pPr>
      <w:r>
        <w:t xml:space="preserve">I.26 Lineage map</w:t>
      </w:r>
    </w:p>
    <w:p>
      <w:pPr>
        <w:pStyle w:val="FirstParagraph"/>
      </w:pPr>
      <w:r>
        <w:t xml:space="preserve">A record of what was inherited, seeded, improvised, performed, corrected, or lost.</w:t>
      </w:r>
    </w:p>
    <w:bookmarkEnd w:id="391"/>
    <w:bookmarkStart w:id="392" w:name="i.27-methylation"/>
    <w:p>
      <w:pPr>
        <w:pStyle w:val="Heading2"/>
      </w:pPr>
      <w:r>
        <w:t xml:space="preserve">I.27 Methylation</w:t>
      </w:r>
    </w:p>
    <w:p>
      <w:pPr>
        <w:pStyle w:val="FirstParagraph"/>
      </w:pPr>
      <w:r>
        <w:t xml:space="preserve">A scoped specialization creating a child citizen while preserving the canonical parent.</w:t>
      </w:r>
    </w:p>
    <w:bookmarkEnd w:id="392"/>
    <w:bookmarkStart w:id="393" w:name="i.28-observer-indexed-reality"/>
    <w:p>
      <w:pPr>
        <w:pStyle w:val="Heading2"/>
      </w:pPr>
      <w:r>
        <w:t xml:space="preserve">I.28 Observer-indexed reality</w:t>
      </w:r>
    </w:p>
    <w:p>
      <w:pPr>
        <w:pStyle w:val="FirstParagraph"/>
      </w:pPr>
      <w:r>
        <w:t xml:space="preserve">State represented relative to an observer transfer function without treating all views as equal truth.</w:t>
      </w:r>
    </w:p>
    <w:bookmarkEnd w:id="393"/>
    <w:bookmarkStart w:id="394" w:name="i.29-par"/>
    <w:p>
      <w:pPr>
        <w:pStyle w:val="Heading2"/>
      </w:pPr>
      <w:r>
        <w:t xml:space="preserve">I.29 PAR</w:t>
      </w:r>
    </w:p>
    <w:p>
      <w:pPr>
        <w:pStyle w:val="FirstParagraph"/>
      </w:pPr>
      <w:r>
        <w:t xml:space="preserve">The facet that locates power, authority, standing, burden, dignity, and visibility.</w:t>
      </w:r>
    </w:p>
    <w:bookmarkEnd w:id="394"/>
    <w:bookmarkStart w:id="395" w:name="i.30-ple"/>
    <w:p>
      <w:pPr>
        <w:pStyle w:val="Heading2"/>
      </w:pPr>
      <w:r>
        <w:t xml:space="preserve">I.30 PLE</w:t>
      </w:r>
    </w:p>
    <w:p>
      <w:pPr>
        <w:pStyle w:val="FirstParagraph"/>
      </w:pPr>
      <w:r>
        <w:t xml:space="preserve">The facet naming required complements, witnesses, interfaces, audits, and handoffs.</w:t>
      </w:r>
    </w:p>
    <w:bookmarkEnd w:id="395"/>
    <w:bookmarkStart w:id="396" w:name="i.31-ponr"/>
    <w:p>
      <w:pPr>
        <w:pStyle w:val="Heading2"/>
      </w:pPr>
      <w:r>
        <w:t xml:space="preserve">I.31 PONR</w:t>
      </w:r>
    </w:p>
    <w:p>
      <w:pPr>
        <w:pStyle w:val="FirstParagraph"/>
      </w:pPr>
      <w:r>
        <w:t xml:space="preserve">Point-of-no-return surface after which correction is not credible inside the relevant horizon and budget.</w:t>
      </w:r>
    </w:p>
    <w:bookmarkEnd w:id="396"/>
    <w:bookmarkStart w:id="397" w:name="i.32-projection"/>
    <w:p>
      <w:pPr>
        <w:pStyle w:val="Heading2"/>
      </w:pPr>
      <w:r>
        <w:t xml:space="preserve">I.32 Projection</w:t>
      </w:r>
    </w:p>
    <w:p>
      <w:pPr>
        <w:pStyle w:val="FirstParagraph"/>
      </w:pPr>
      <w:r>
        <w:t xml:space="preserve">A bounded rendering of the lattice into language, interface, or model input with no authority amplification.</w:t>
      </w:r>
    </w:p>
    <w:bookmarkEnd w:id="397"/>
    <w:bookmarkStart w:id="398" w:name="i.33-receipt"/>
    <w:p>
      <w:pPr>
        <w:pStyle w:val="Heading2"/>
      </w:pPr>
      <w:r>
        <w:t xml:space="preserve">I.33 Receipt</w:t>
      </w:r>
    </w:p>
    <w:p>
      <w:pPr>
        <w:pStyle w:val="FirstParagraph"/>
      </w:pPr>
      <w:r>
        <w:t xml:space="preserve">A typed record of source, time, authority, scope, identity, and conformation evidence.</w:t>
      </w:r>
    </w:p>
    <w:bookmarkEnd w:id="398"/>
    <w:bookmarkStart w:id="399" w:name="i.34-rehydration"/>
    <w:p>
      <w:pPr>
        <w:pStyle w:val="Heading2"/>
      </w:pPr>
      <w:r>
        <w:t xml:space="preserve">I.34 Rehydration</w:t>
      </w:r>
    </w:p>
    <w:p>
      <w:pPr>
        <w:pStyle w:val="FirstParagraph"/>
      </w:pPr>
      <w:r>
        <w:t xml:space="preserve">Reconstruction of a candidate governed shape from a dehydrated carrier such as natural language.</w:t>
      </w:r>
    </w:p>
    <w:bookmarkEnd w:id="399"/>
    <w:bookmarkStart w:id="400" w:name="i.35-residue"/>
    <w:p>
      <w:pPr>
        <w:pStyle w:val="Heading2"/>
      </w:pPr>
      <w:r>
        <w:t xml:space="preserve">I.35 Residue</w:t>
      </w:r>
    </w:p>
    <w:p>
      <w:pPr>
        <w:pStyle w:val="FirstParagraph"/>
      </w:pPr>
      <w:r>
        <w:t xml:space="preserve">Unresolved contradiction, moral injury, or contamination left after correction or synthesis.</w:t>
      </w:r>
    </w:p>
    <w:bookmarkEnd w:id="400"/>
    <w:bookmarkStart w:id="401" w:name="i.36-sightstate"/>
    <w:p>
      <w:pPr>
        <w:pStyle w:val="Heading2"/>
      </w:pPr>
      <w:r>
        <w:t xml:space="preserve">I.36 SightState</w:t>
      </w:r>
    </w:p>
    <w:p>
      <w:pPr>
        <w:pStyle w:val="FirstParagraph"/>
      </w:pPr>
      <w:r>
        <w:t xml:space="preserve">The staged chain from geometric visibility through sensing, rendering, attention, acknowledgment, and action.</w:t>
      </w:r>
    </w:p>
    <w:bookmarkEnd w:id="401"/>
    <w:bookmarkStart w:id="402" w:name="i.37-soredium"/>
    <w:p>
      <w:pPr>
        <w:pStyle w:val="Heading2"/>
      </w:pPr>
      <w:r>
        <w:t xml:space="preserve">I.37 Soredium</w:t>
      </w:r>
    </w:p>
    <w:p>
      <w:pPr>
        <w:pStyle w:val="FirstParagraph"/>
      </w:pPr>
      <w:r>
        <w:t xml:space="preserve">A compressed transferable pattern carrying lineage and viability into another local context.</w:t>
      </w:r>
    </w:p>
    <w:bookmarkEnd w:id="402"/>
    <w:bookmarkStart w:id="403" w:name="i.38-source-tense"/>
    <w:p>
      <w:pPr>
        <w:pStyle w:val="Heading2"/>
      </w:pPr>
      <w:r>
        <w:t xml:space="preserve">I.38 Source-tense</w:t>
      </w:r>
    </w:p>
    <w:p>
      <w:pPr>
        <w:pStyle w:val="FirstParagraph"/>
      </w:pPr>
      <w:r>
        <w:t xml:space="preserve">The epistemic-temporal class of a claim: runtime, canonical intent, observation, report, synthetic, inference, or memory.</w:t>
      </w:r>
    </w:p>
    <w:bookmarkEnd w:id="403"/>
    <w:bookmarkStart w:id="404" w:name="i.39-splat"/>
    <w:p>
      <w:pPr>
        <w:pStyle w:val="Heading2"/>
      </w:pPr>
      <w:r>
        <w:t xml:space="preserve">I.39 Splat</w:t>
      </w:r>
    </w:p>
    <w:p>
      <w:pPr>
        <w:pStyle w:val="FirstParagraph"/>
      </w:pPr>
      <w:r>
        <w:t xml:space="preserve">A receipt-bearing conformation-bound lawful slice with six facets and an excluded center.</w:t>
      </w:r>
    </w:p>
    <w:bookmarkEnd w:id="404"/>
    <w:bookmarkStart w:id="405" w:name="i.40-stabilization"/>
    <w:p>
      <w:pPr>
        <w:pStyle w:val="Heading2"/>
      </w:pPr>
      <w:r>
        <w:t xml:space="preserve">I.40 Stabilization</w:t>
      </w:r>
    </w:p>
    <w:p>
      <w:pPr>
        <w:pStyle w:val="FirstParagraph"/>
      </w:pPr>
      <w:r>
        <w:t xml:space="preserve">Scoped satisfaction of predicates required for a state to participate in lawful traversal.</w:t>
      </w:r>
    </w:p>
    <w:bookmarkEnd w:id="405"/>
    <w:bookmarkStart w:id="406" w:name="i.41-suspension"/>
    <w:p>
      <w:pPr>
        <w:pStyle w:val="Heading2"/>
      </w:pPr>
      <w:r>
        <w:t xml:space="preserve">I.41 Suspension</w:t>
      </w:r>
    </w:p>
    <w:p>
      <w:pPr>
        <w:pStyle w:val="FirstParagraph"/>
      </w:pPr>
      <w:r>
        <w:t xml:space="preserve">A governed hold state with evidence obligations, owner, maximum interval, and exit.</w:t>
      </w:r>
    </w:p>
    <w:bookmarkEnd w:id="406"/>
    <w:bookmarkStart w:id="407" w:name="i.42-tel"/>
    <w:p>
      <w:pPr>
        <w:pStyle w:val="Heading2"/>
      </w:pPr>
      <w:r>
        <w:t xml:space="preserve">I.42 TEL</w:t>
      </w:r>
    </w:p>
    <w:p>
      <w:pPr>
        <w:pStyle w:val="FirstParagraph"/>
      </w:pPr>
      <w:r>
        <w:t xml:space="preserve">The facet binding purpose, stopping conditions, and direction of lawful motion.</w:t>
      </w:r>
    </w:p>
    <w:bookmarkEnd w:id="407"/>
    <w:bookmarkStart w:id="408" w:name="i.43-terrain"/>
    <w:p>
      <w:pPr>
        <w:pStyle w:val="Heading2"/>
      </w:pPr>
      <w:r>
        <w:t xml:space="preserve">I.43 Terrain</w:t>
      </w:r>
    </w:p>
    <w:p>
      <w:pPr>
        <w:pStyle w:val="FirstParagraph"/>
      </w:pPr>
      <w:r>
        <w:t xml:space="preserve">The structural field of constraints, precedent shapes, authority, history, pressure, and reachable paths.</w:t>
      </w:r>
    </w:p>
    <w:bookmarkEnd w:id="408"/>
    <w:bookmarkStart w:id="409" w:name="i.44-terrain-inversion"/>
    <w:p>
      <w:pPr>
        <w:pStyle w:val="Heading2"/>
      </w:pPr>
      <w:r>
        <w:t xml:space="preserve">I.44 Terrain inversion</w:t>
      </w:r>
    </w:p>
    <w:p>
      <w:pPr>
        <w:pStyle w:val="FirstParagraph"/>
      </w:pPr>
      <w:r>
        <w:t xml:space="preserve">Inference of candidate hidden structure from observed reactions, ripples, and correction residue.</w:t>
      </w:r>
    </w:p>
    <w:bookmarkEnd w:id="409"/>
    <w:bookmarkStart w:id="410" w:name="i.45-validation-frame"/>
    <w:p>
      <w:pPr>
        <w:pStyle w:val="Heading2"/>
      </w:pPr>
      <w:r>
        <w:t xml:space="preserve">I.45 Validation frame</w:t>
      </w:r>
    </w:p>
    <w:p>
      <w:pPr>
        <w:pStyle w:val="FirstParagraph"/>
      </w:pPr>
      <w:r>
        <w:t xml:space="preserve">The object containing support, authority, agency, risks, thresholds, and correction state for a transition.</w:t>
      </w:r>
    </w:p>
    <w:bookmarkEnd w:id="410"/>
    <w:bookmarkStart w:id="411" w:name="i.46-wasinsight"/>
    <w:p>
      <w:pPr>
        <w:pStyle w:val="Heading2"/>
      </w:pPr>
      <w:r>
        <w:t xml:space="preserve">I.46 WasInSight</w:t>
      </w:r>
    </w:p>
    <w:p>
      <w:pPr>
        <w:pStyle w:val="FirstParagraph"/>
      </w:pPr>
      <w:r>
        <w:t xml:space="preserve">A reconstruction of whether and how an object was reachable during a prior interval.</w:t>
      </w:r>
    </w:p>
    <w:bookmarkEnd w:id="411"/>
    <w:bookmarkStart w:id="412" w:name="i.47-winch"/>
    <w:p>
      <w:pPr>
        <w:pStyle w:val="Heading2"/>
      </w:pPr>
      <w:r>
        <w:t xml:space="preserve">I.47 Winch</w:t>
      </w:r>
    </w:p>
    <w:p>
      <w:pPr>
        <w:pStyle w:val="FirstParagraph"/>
      </w:pPr>
      <w:r>
        <w:t xml:space="preserve">A rate-limited authority-bound mechanism adjusting cable tension as context changes.</w:t>
      </w:r>
    </w:p>
    <w:bookmarkEnd w:id="412"/>
    <w:bookmarkStart w:id="413" w:name="i.48-working-centroid"/>
    <w:p>
      <w:pPr>
        <w:pStyle w:val="Heading2"/>
      </w:pPr>
      <w:r>
        <w:t xml:space="preserve">I.48 Working centroid</w:t>
      </w:r>
    </w:p>
    <w:p>
      <w:pPr>
        <w:pStyle w:val="FirstParagraph"/>
      </w:pPr>
      <w:r>
        <w:t xml:space="preserve">A movable facet- and gauge-relative coordinate used for navigation, never the held-open center.</w:t>
      </w:r>
    </w:p>
    <w:bookmarkEnd w:id="413"/>
    <w:bookmarkEnd w:id="414"/>
    <w:bookmarkStart w:id="415" w:name="Xbafc7228729ad51641ebd15c7d4da5dc93ecbd9"/>
    <w:p>
      <w:pPr>
        <w:pStyle w:val="Heading1"/>
      </w:pPr>
      <w:r>
        <w:t xml:space="preserve">Appendix J - Reproduction and audit procedure</w:t>
      </w:r>
    </w:p>
    <w:p>
      <w:pPr>
        <w:pStyle w:val="Compact"/>
        <w:numPr>
          <w:ilvl w:val="0"/>
          <w:numId w:val="1113"/>
        </w:numPr>
      </w:pPr>
      <w:r>
        <w:t xml:space="preserve">Verify the SHA-256 of the native range archive against its receipt.</w:t>
      </w:r>
    </w:p>
    <w:p>
      <w:pPr>
        <w:pStyle w:val="Compact"/>
        <w:numPr>
          <w:ilvl w:val="0"/>
          <w:numId w:val="1113"/>
        </w:numPr>
      </w:pPr>
      <w:r>
        <w:t xml:space="preserve">Extract the archive into an isolated environment.</w:t>
      </w:r>
    </w:p>
    <w:p>
      <w:pPr>
        <w:pStyle w:val="Compact"/>
        <w:numPr>
          <w:ilvl w:val="0"/>
          <w:numId w:val="1113"/>
        </w:numPr>
      </w:pPr>
      <w:r>
        <w:t xml:space="preserve">Create a Python 3.11 or newer virtual environment and install development dependencies.</w:t>
      </w:r>
    </w:p>
    <w:p>
      <w:pPr>
        <w:pStyle w:val="Compact"/>
        <w:numPr>
          <w:ilvl w:val="0"/>
          <w:numId w:val="1113"/>
        </w:numPr>
      </w:pPr>
      <w:r>
        <w:t xml:space="preserve">Regenerate schemas and compare them with the release copies.</w:t>
      </w:r>
    </w:p>
    <w:p>
      <w:pPr>
        <w:pStyle w:val="Compact"/>
        <w:numPr>
          <w:ilvl w:val="0"/>
          <w:numId w:val="1113"/>
        </w:numPr>
      </w:pPr>
      <w:r>
        <w:t xml:space="preserve">Run the automated test suite and record versions, platform, and output.</w:t>
      </w:r>
    </w:p>
    <w:p>
      <w:pPr>
        <w:pStyle w:val="Compact"/>
        <w:numPr>
          <w:ilvl w:val="0"/>
          <w:numId w:val="1113"/>
        </w:numPr>
      </w:pPr>
      <w:r>
        <w:t xml:space="preserve">Run all supplied source selftests in the compatibility environment.</w:t>
      </w:r>
    </w:p>
    <w:p>
      <w:pPr>
        <w:pStyle w:val="Compact"/>
        <w:numPr>
          <w:ilvl w:val="0"/>
          <w:numId w:val="1113"/>
        </w:numPr>
      </w:pPr>
      <w:r>
        <w:t xml:space="preserve">Execute the integrated range and inspect the parent gate, suspension ledger, lattice digest, and mission geometry.</w:t>
      </w:r>
    </w:p>
    <w:p>
      <w:pPr>
        <w:pStyle w:val="Compact"/>
        <w:numPr>
          <w:ilvl w:val="0"/>
          <w:numId w:val="1113"/>
        </w:numPr>
      </w:pPr>
      <w:r>
        <w:t xml:space="preserve">Execute the synthetic campaign and confirm the evidence boundary appears in every result surface.</w:t>
      </w:r>
    </w:p>
    <w:p>
      <w:pPr>
        <w:pStyle w:val="Compact"/>
        <w:numPr>
          <w:ilvl w:val="0"/>
          <w:numId w:val="1113"/>
        </w:numPr>
      </w:pPr>
      <w:r>
        <w:t xml:space="preserve">Run release verification, ZIP CRC, and manifest rehashing.</w:t>
      </w:r>
    </w:p>
    <w:p>
      <w:pPr>
        <w:pStyle w:val="Compact"/>
        <w:numPr>
          <w:ilvl w:val="0"/>
          <w:numId w:val="1113"/>
        </w:numPr>
      </w:pPr>
      <w:r>
        <w:t xml:space="preserve">Treat any difference as a new configuration requiring a new receipt rather than silently reusing the old claim.</w:t>
      </w:r>
    </w:p>
    <w:p>
      <w:pPr>
        <w:pStyle w:val="SourceCode"/>
      </w:pPr>
      <w:r>
        <w:rPr>
          <w:rStyle w:val="ExtensionTok"/>
        </w:rPr>
        <w:t xml:space="preserve">python</w:t>
      </w:r>
      <w:r>
        <w:rPr>
          <w:rStyle w:val="NormalTok"/>
        </w:rPr>
        <w:t xml:space="preserve"> </w:t>
      </w:r>
      <w:r>
        <w:rPr>
          <w:rStyle w:val="AttributeTok"/>
        </w:rPr>
        <w:t xml:space="preserve">-m</w:t>
      </w:r>
      <w:r>
        <w:rPr>
          <w:rStyle w:val="NormalTok"/>
        </w:rPr>
        <w:t xml:space="preserve"> venv .venv</w:t>
      </w:r>
      <w:r>
        <w:br/>
      </w:r>
      <w:r>
        <w:rPr>
          <w:rStyle w:val="BuiltInTok"/>
        </w:rPr>
        <w:t xml:space="preserve">source</w:t>
      </w:r>
      <w:r>
        <w:rPr>
          <w:rStyle w:val="NormalTok"/>
        </w:rPr>
        <w:t xml:space="preserve"> .venv/bin/activate</w:t>
      </w:r>
      <w:r>
        <w:br/>
      </w:r>
      <w:r>
        <w:rPr>
          <w:rStyle w:val="ExtensionTok"/>
        </w:rPr>
        <w:t xml:space="preserve">python</w:t>
      </w:r>
      <w:r>
        <w:rPr>
          <w:rStyle w:val="NormalTok"/>
        </w:rPr>
        <w:t xml:space="preserve"> </w:t>
      </w:r>
      <w:r>
        <w:rPr>
          <w:rStyle w:val="AttributeTok"/>
        </w:rPr>
        <w:t xml:space="preserve">-m</w:t>
      </w:r>
      <w:r>
        <w:rPr>
          <w:rStyle w:val="NormalTok"/>
        </w:rPr>
        <w:t xml:space="preserve"> pip install </w:t>
      </w:r>
      <w:r>
        <w:rPr>
          <w:rStyle w:val="AttributeTok"/>
        </w:rPr>
        <w:t xml:space="preserve">-e</w:t>
      </w:r>
      <w:r>
        <w:rPr>
          <w:rStyle w:val="NormalTok"/>
        </w:rPr>
        <w:t xml:space="preserve"> </w:t>
      </w:r>
      <w:r>
        <w:rPr>
          <w:rStyle w:val="StringTok"/>
        </w:rPr>
        <w:t xml:space="preserve">".[dev]"</w:t>
      </w:r>
      <w:r>
        <w:br/>
      </w:r>
      <w:r>
        <w:rPr>
          <w:rStyle w:val="FunctionTok"/>
        </w:rPr>
        <w:t xml:space="preserve">make</w:t>
      </w:r>
      <w:r>
        <w:rPr>
          <w:rStyle w:val="NormalTok"/>
        </w:rPr>
        <w:t xml:space="preserve"> schemas</w:t>
      </w:r>
      <w:r>
        <w:br/>
      </w:r>
      <w:r>
        <w:rPr>
          <w:rStyle w:val="FunctionTok"/>
        </w:rPr>
        <w:t xml:space="preserve">make</w:t>
      </w:r>
      <w:r>
        <w:rPr>
          <w:rStyle w:val="NormalTok"/>
        </w:rPr>
        <w:t xml:space="preserve"> test</w:t>
      </w:r>
      <w:r>
        <w:br/>
      </w:r>
      <w:r>
        <w:rPr>
          <w:rStyle w:val="FunctionTok"/>
        </w:rPr>
        <w:t xml:space="preserve">make</w:t>
      </w:r>
      <w:r>
        <w:rPr>
          <w:rStyle w:val="NormalTok"/>
        </w:rPr>
        <w:t xml:space="preserve"> run</w:t>
      </w:r>
      <w:r>
        <w:br/>
      </w:r>
      <w:r>
        <w:rPr>
          <w:rStyle w:val="FunctionTok"/>
        </w:rPr>
        <w:t xml:space="preserve">make</w:t>
      </w:r>
      <w:r>
        <w:rPr>
          <w:rStyle w:val="NormalTok"/>
        </w:rPr>
        <w:t xml:space="preserve"> campaign</w:t>
      </w:r>
      <w:r>
        <w:br/>
      </w:r>
      <w:r>
        <w:rPr>
          <w:rStyle w:val="FunctionTok"/>
        </w:rPr>
        <w:t xml:space="preserve">make</w:t>
      </w:r>
      <w:r>
        <w:rPr>
          <w:rStyle w:val="NormalTok"/>
        </w:rPr>
        <w:t xml:space="preserve"> verify</w:t>
      </w:r>
    </w:p>
    <w:bookmarkEnd w:id="415"/>
    <w:bookmarkStart w:id="416" w:name="appendix-k---public-release-boundary"/>
    <w:p>
      <w:pPr>
        <w:pStyle w:val="Heading1"/>
      </w:pPr>
      <w:r>
        <w:t xml:space="preserve">Appendix K - Public release boundary</w:t>
      </w:r>
    </w:p>
    <w:p>
      <w:pPr>
        <w:pStyle w:val="FirstParagraph"/>
      </w:pPr>
      <w:r>
        <w:t xml:space="preserve">The public distribution includes assurance architecture, state models, human-agency instruments, provenance, synthetic benchmarks, ecological and economic simulations, cooperative signaling research, and reproducibility material. It excludes operational target selection, weapon-control logic, platform-specific vulnerabilities, deployable deception optimization, physical signature recipes, and autonomous engagement authority.</w:t>
      </w:r>
    </w:p>
    <w:p>
      <w:pPr>
        <w:pStyle w:val="BodyText"/>
      </w:pPr>
      <w:r>
        <w:t xml:space="preserve">The boundary is enforced at manuscript review, file-manifest review, and release scan. Threat discussion is retained only at the level required to define assurance and benchmark obligations.</w:t>
      </w:r>
    </w:p>
    <w:bookmarkEnd w:id="416"/>
    <w:bookmarkStart w:id="476" w:name="appendix-l---full-claim-register"/>
    <w:p>
      <w:pPr>
        <w:pStyle w:val="Heading1"/>
      </w:pPr>
      <w:r>
        <w:t xml:space="preserve">Appendix L - Full claim register</w:t>
      </w:r>
    </w:p>
    <w:bookmarkStart w:id="417" w:name="l.1-c001---established_ubiquity"/>
    <w:p>
      <w:pPr>
        <w:pStyle w:val="Heading2"/>
      </w:pPr>
      <w:r>
        <w:t xml:space="preserve">L.1 C001 - ESTABLISHED_UBIQUITY</w:t>
      </w:r>
    </w:p>
    <w:p>
      <w:pPr>
        <w:pStyle w:val="FirstParagraph"/>
      </w:pPr>
      <w:r>
        <w:t xml:space="preserve">Ubiquity is Prompted LLC’s flagship governance substrate for sovereign adaptive systems.</w:t>
      </w:r>
      <w:r>
        <w:t xml:space="preserve"> </w:t>
      </w:r>
      <w:r>
        <w:t xml:space="preserve">-</w:t>
      </w:r>
      <w:r>
        <w:t xml:space="preserve"> </w:t>
      </w:r>
      <w:r>
        <w:rPr>
          <w:b/>
          <w:bCs/>
        </w:rPr>
        <w:t xml:space="preserve">Scope:</w:t>
      </w:r>
      <w:r>
        <w:t xml:space="preserve"> </w:t>
      </w:r>
      <w:r>
        <w:t xml:space="preserve">Entity and architecture boundary</w:t>
      </w:r>
      <w:r>
        <w:t xml:space="preserve"> </w:t>
      </w:r>
      <w:r>
        <w:t xml:space="preserve">-</w:t>
      </w:r>
      <w:r>
        <w:t xml:space="preserve"> </w:t>
      </w:r>
      <w:r>
        <w:rPr>
          <w:b/>
          <w:bCs/>
        </w:rPr>
        <w:t xml:space="preserve">Source refs:</w:t>
      </w:r>
      <w:r>
        <w:t xml:space="preserve"> </w:t>
      </w:r>
      <w:r>
        <w:t xml:space="preserve">Prompted2026Home;Prompted2026Ubiquity</w:t>
      </w:r>
      <w:r>
        <w:t xml:space="preserve"> </w:t>
      </w:r>
      <w:r>
        <w:t xml:space="preserve">-</w:t>
      </w:r>
      <w:r>
        <w:t xml:space="preserve"> </w:t>
      </w:r>
      <w:r>
        <w:rPr>
          <w:b/>
          <w:bCs/>
        </w:rPr>
        <w:t xml:space="preserve">Reopen condition:</w:t>
      </w:r>
      <w:r>
        <w:t xml:space="preserve"> </w:t>
      </w:r>
      <w:r>
        <w:t xml:space="preserve">Canonical entity surface changes.</w:t>
      </w:r>
    </w:p>
    <w:bookmarkEnd w:id="417"/>
    <w:bookmarkStart w:id="418" w:name="l.2-c002---established_ubiquity"/>
    <w:p>
      <w:pPr>
        <w:pStyle w:val="Heading2"/>
      </w:pPr>
      <w:r>
        <w:t xml:space="preserve">L.2 C002 - ESTABLISHED_UBIQUITY</w:t>
      </w:r>
    </w:p>
    <w:p>
      <w:pPr>
        <w:pStyle w:val="FirstParagraph"/>
      </w:pPr>
      <w:r>
        <w:t xml:space="preserve">Classification is lawful traversal through typed authority, source-tense, lifecycle, receipt, and telos constraints.</w:t>
      </w:r>
      <w:r>
        <w:t xml:space="preserve"> </w:t>
      </w:r>
      <w:r>
        <w:t xml:space="preserve">-</w:t>
      </w:r>
      <w:r>
        <w:t xml:space="preserve"> </w:t>
      </w:r>
      <w:r>
        <w:rPr>
          <w:b/>
          <w:bCs/>
        </w:rPr>
        <w:t xml:space="preserve">Scope:</w:t>
      </w:r>
      <w:r>
        <w:t xml:space="preserve"> </w:t>
      </w:r>
      <w:r>
        <w:t xml:space="preserve">Ubiquity parent topology</w:t>
      </w:r>
      <w:r>
        <w:t xml:space="preserve"> </w:t>
      </w:r>
      <w:r>
        <w:t xml:space="preserve">-</w:t>
      </w:r>
      <w:r>
        <w:t xml:space="preserve"> </w:t>
      </w:r>
      <w:r>
        <w:rPr>
          <w:b/>
          <w:bCs/>
        </w:rPr>
        <w:t xml:space="preserve">Source refs:</w:t>
      </w:r>
      <w:r>
        <w:t xml:space="preserve"> </w:t>
      </w:r>
      <w:r>
        <w:t xml:space="preserve">Taylor2026FQoQ;Taylor2026OpenCenter</w:t>
      </w:r>
      <w:r>
        <w:t xml:space="preserve"> </w:t>
      </w:r>
      <w:r>
        <w:t xml:space="preserve">-</w:t>
      </w:r>
      <w:r>
        <w:t xml:space="preserve"> </w:t>
      </w:r>
      <w:r>
        <w:rPr>
          <w:b/>
          <w:bCs/>
        </w:rPr>
        <w:t xml:space="preserve">Reopen condition:</w:t>
      </w:r>
      <w:r>
        <w:t xml:space="preserve"> </w:t>
      </w:r>
      <w:r>
        <w:t xml:space="preserve">Parent classifier contract changes.</w:t>
      </w:r>
    </w:p>
    <w:bookmarkEnd w:id="418"/>
    <w:bookmarkStart w:id="419" w:name="l.3-c003---established_ubiquity"/>
    <w:p>
      <w:pPr>
        <w:pStyle w:val="Heading2"/>
      </w:pPr>
      <w:r>
        <w:t xml:space="preserve">L.3 C003 - ESTABLISHED_UBIQUITY</w:t>
      </w:r>
    </w:p>
    <w:p>
      <w:pPr>
        <w:pStyle w:val="FirstParagraph"/>
      </w:pPr>
      <w:r>
        <w:t xml:space="preserve">Production splat mechanics carry conformation-bound slices with six facets, receipts, exclusions, unresolved branches, and renarrow triggers.</w:t>
      </w:r>
      <w:r>
        <w:t xml:space="preserve"> </w:t>
      </w:r>
      <w:r>
        <w:t xml:space="preserve">-</w:t>
      </w:r>
      <w:r>
        <w:t xml:space="preserve"> </w:t>
      </w:r>
      <w:r>
        <w:rPr>
          <w:b/>
          <w:bCs/>
        </w:rPr>
        <w:t xml:space="preserve">Scope:</w:t>
      </w:r>
      <w:r>
        <w:t xml:space="preserve"> </w:t>
      </w:r>
      <w:r>
        <w:t xml:space="preserve">Ubiquity production primitive</w:t>
      </w:r>
      <w:r>
        <w:t xml:space="preserve"> </w:t>
      </w:r>
      <w:r>
        <w:t xml:space="preserve">-</w:t>
      </w:r>
      <w:r>
        <w:t xml:space="preserve"> </w:t>
      </w:r>
      <w:r>
        <w:rPr>
          <w:b/>
          <w:bCs/>
        </w:rPr>
        <w:t xml:space="preserve">Source refs:</w:t>
      </w:r>
      <w:r>
        <w:t xml:space="preserve"> </w:t>
      </w:r>
      <w:r>
        <w:t xml:space="preserve">Taylor2026OpenCenter</w:t>
      </w:r>
      <w:r>
        <w:t xml:space="preserve"> </w:t>
      </w:r>
      <w:r>
        <w:t xml:space="preserve">-</w:t>
      </w:r>
      <w:r>
        <w:t xml:space="preserve"> </w:t>
      </w:r>
      <w:r>
        <w:rPr>
          <w:b/>
          <w:bCs/>
        </w:rPr>
        <w:t xml:space="preserve">Reopen condition:</w:t>
      </w:r>
      <w:r>
        <w:t xml:space="preserve"> </w:t>
      </w:r>
      <w:r>
        <w:t xml:space="preserve">Canonical splat schema changes.</w:t>
      </w:r>
    </w:p>
    <w:bookmarkEnd w:id="419"/>
    <w:bookmarkStart w:id="420" w:name="l.4-c004---established_ubiquity"/>
    <w:p>
      <w:pPr>
        <w:pStyle w:val="Heading2"/>
      </w:pPr>
      <w:r>
        <w:t xml:space="preserve">L.4 C004 - ESTABLISHED_UBIQUITY</w:t>
      </w:r>
    </w:p>
    <w:p>
      <w:pPr>
        <w:pStyle w:val="FirstParagraph"/>
      </w:pPr>
      <w:r>
        <w:t xml:space="preserve">The held-open center is non-inhabitable, non-trainable, non-routeable, and not a mutable terminal state.</w:t>
      </w:r>
      <w:r>
        <w:t xml:space="preserve"> </w:t>
      </w:r>
      <w:r>
        <w:t xml:space="preserve">-</w:t>
      </w:r>
      <w:r>
        <w:t xml:space="preserve"> </w:t>
      </w:r>
      <w:r>
        <w:rPr>
          <w:b/>
          <w:bCs/>
        </w:rPr>
        <w:t xml:space="preserve">Scope:</w:t>
      </w:r>
      <w:r>
        <w:t xml:space="preserve"> </w:t>
      </w:r>
      <w:r>
        <w:t xml:space="preserve">Center-exclusion doctrine</w:t>
      </w:r>
      <w:r>
        <w:t xml:space="preserve"> </w:t>
      </w:r>
      <w:r>
        <w:t xml:space="preserve">-</w:t>
      </w:r>
      <w:r>
        <w:t xml:space="preserve"> </w:t>
      </w:r>
      <w:r>
        <w:rPr>
          <w:b/>
          <w:bCs/>
        </w:rPr>
        <w:t xml:space="preserve">Source refs:</w:t>
      </w:r>
      <w:r>
        <w:t xml:space="preserve"> </w:t>
      </w:r>
      <w:r>
        <w:t xml:space="preserve">Taylor2026FQoQ;Taylor2026OpenCenter</w:t>
      </w:r>
      <w:r>
        <w:t xml:space="preserve"> </w:t>
      </w:r>
      <w:r>
        <w:t xml:space="preserve">-</w:t>
      </w:r>
      <w:r>
        <w:t xml:space="preserve"> </w:t>
      </w:r>
      <w:r>
        <w:rPr>
          <w:b/>
          <w:bCs/>
        </w:rPr>
        <w:t xml:space="preserve">Reopen condition:</w:t>
      </w:r>
      <w:r>
        <w:t xml:space="preserve"> </w:t>
      </w:r>
      <w:r>
        <w:t xml:space="preserve">Canonical center contract changes.</w:t>
      </w:r>
    </w:p>
    <w:bookmarkEnd w:id="420"/>
    <w:bookmarkStart w:id="421" w:name="l.5-c005---established_ubiquity"/>
    <w:p>
      <w:pPr>
        <w:pStyle w:val="Heading2"/>
      </w:pPr>
      <w:r>
        <w:t xml:space="preserve">L.5 C005 - ESTABLISHED_UBIQUITY</w:t>
      </w:r>
    </w:p>
    <w:p>
      <w:pPr>
        <w:pStyle w:val="FirstParagraph"/>
      </w:pPr>
      <w:r>
        <w:t xml:space="preserve">Models propose; a separate governance surface grants mutation authority.</w:t>
      </w:r>
      <w:r>
        <w:t xml:space="preserve"> </w:t>
      </w:r>
      <w:r>
        <w:t xml:space="preserve">-</w:t>
      </w:r>
      <w:r>
        <w:t xml:space="preserve"> </w:t>
      </w:r>
      <w:r>
        <w:rPr>
          <w:b/>
          <w:bCs/>
        </w:rPr>
        <w:t xml:space="preserve">Scope:</w:t>
      </w:r>
      <w:r>
        <w:t xml:space="preserve"> </w:t>
      </w:r>
      <w:r>
        <w:t xml:space="preserve">Parent authority doctrine</w:t>
      </w:r>
      <w:r>
        <w:t xml:space="preserve"> </w:t>
      </w:r>
      <w:r>
        <w:t xml:space="preserve">-</w:t>
      </w:r>
      <w:r>
        <w:t xml:space="preserve"> </w:t>
      </w:r>
      <w:r>
        <w:rPr>
          <w:b/>
          <w:bCs/>
        </w:rPr>
        <w:t xml:space="preserve">Source refs:</w:t>
      </w:r>
      <w:r>
        <w:t xml:space="preserve"> </w:t>
      </w:r>
      <w:r>
        <w:t xml:space="preserve">Prompted2026Home;Taylor2026FQoQ</w:t>
      </w:r>
      <w:r>
        <w:t xml:space="preserve"> </w:t>
      </w:r>
      <w:r>
        <w:t xml:space="preserve">-</w:t>
      </w:r>
      <w:r>
        <w:t xml:space="preserve"> </w:t>
      </w:r>
      <w:r>
        <w:rPr>
          <w:b/>
          <w:bCs/>
        </w:rPr>
        <w:t xml:space="preserve">Reopen condition:</w:t>
      </w:r>
      <w:r>
        <w:t xml:space="preserve"> </w:t>
      </w:r>
      <w:r>
        <w:t xml:space="preserve">Canonical writer contract changes.</w:t>
      </w:r>
    </w:p>
    <w:bookmarkEnd w:id="421"/>
    <w:bookmarkStart w:id="422" w:name="l.6-c006---established_ubiquity"/>
    <w:p>
      <w:pPr>
        <w:pStyle w:val="Heading2"/>
      </w:pPr>
      <w:r>
        <w:t xml:space="preserve">L.6 C006 - ESTABLISHED_UBIQUITY</w:t>
      </w:r>
    </w:p>
    <w:p>
      <w:pPr>
        <w:pStyle w:val="FirstParagraph"/>
      </w:pPr>
      <w:r>
        <w:t xml:space="preserve">Signals, warrants, lessons, policies, lifecycle, and promotion gates are durable governance surfaces.</w:t>
      </w:r>
      <w:r>
        <w:t xml:space="preserve"> </w:t>
      </w:r>
      <w:r>
        <w:t xml:space="preserve">-</w:t>
      </w:r>
      <w:r>
        <w:t xml:space="preserve"> </w:t>
      </w:r>
      <w:r>
        <w:rPr>
          <w:b/>
          <w:bCs/>
        </w:rPr>
        <w:t xml:space="preserve">Scope:</w:t>
      </w:r>
      <w:r>
        <w:t xml:space="preserve"> </w:t>
      </w:r>
      <w:r>
        <w:t xml:space="preserve">Ubiquity lifecycle</w:t>
      </w:r>
      <w:r>
        <w:t xml:space="preserve"> </w:t>
      </w:r>
      <w:r>
        <w:t xml:space="preserve">-</w:t>
      </w:r>
      <w:r>
        <w:t xml:space="preserve"> </w:t>
      </w:r>
      <w:r>
        <w:rPr>
          <w:b/>
          <w:bCs/>
        </w:rPr>
        <w:t xml:space="preserve">Source refs:</w:t>
      </w:r>
      <w:r>
        <w:t xml:space="preserve"> </w:t>
      </w:r>
      <w:r>
        <w:t xml:space="preserve">Prompted2026Home;CitizenLifecycle2026</w:t>
      </w:r>
      <w:r>
        <w:t xml:space="preserve"> </w:t>
      </w:r>
      <w:r>
        <w:t xml:space="preserve">-</w:t>
      </w:r>
      <w:r>
        <w:t xml:space="preserve"> </w:t>
      </w:r>
      <w:r>
        <w:rPr>
          <w:b/>
          <w:bCs/>
        </w:rPr>
        <w:t xml:space="preserve">Reopen condition:</w:t>
      </w:r>
      <w:r>
        <w:t xml:space="preserve"> </w:t>
      </w:r>
      <w:r>
        <w:t xml:space="preserve">Runtime lifecycle changes.</w:t>
      </w:r>
    </w:p>
    <w:bookmarkEnd w:id="422"/>
    <w:bookmarkStart w:id="423" w:name="l.7-c007---established_ubiquity"/>
    <w:p>
      <w:pPr>
        <w:pStyle w:val="Heading2"/>
      </w:pPr>
      <w:r>
        <w:t xml:space="preserve">L.7 C007 - ESTABLISHED_UBIQUITY</w:t>
      </w:r>
    </w:p>
    <w:p>
      <w:pPr>
        <w:pStyle w:val="FirstParagraph"/>
      </w:pPr>
      <w:r>
        <w:t xml:space="preserve">Trust is represented longitudinally through correction-path survival, not first-pass confidence alone.</w:t>
      </w:r>
      <w:r>
        <w:t xml:space="preserve"> </w:t>
      </w:r>
      <w:r>
        <w:t xml:space="preserve">-</w:t>
      </w:r>
      <w:r>
        <w:t xml:space="preserve"> </w:t>
      </w:r>
      <w:r>
        <w:rPr>
          <w:b/>
          <w:bCs/>
        </w:rPr>
        <w:t xml:space="preserve">Scope:</w:t>
      </w:r>
      <w:r>
        <w:t xml:space="preserve"> </w:t>
      </w:r>
      <w:r>
        <w:t xml:space="preserve">Ubiquity trust doctrine</w:t>
      </w:r>
      <w:r>
        <w:t xml:space="preserve"> </w:t>
      </w:r>
      <w:r>
        <w:t xml:space="preserve">-</w:t>
      </w:r>
      <w:r>
        <w:t xml:space="preserve"> </w:t>
      </w:r>
      <w:r>
        <w:rPr>
          <w:b/>
          <w:bCs/>
        </w:rPr>
        <w:t xml:space="preserve">Source refs:</w:t>
      </w:r>
      <w:r>
        <w:t xml:space="preserve"> </w:t>
      </w:r>
      <w:r>
        <w:t xml:space="preserve">Taylor2026OpenCenter</w:t>
      </w:r>
      <w:r>
        <w:t xml:space="preserve"> </w:t>
      </w:r>
      <w:r>
        <w:t xml:space="preserve">-</w:t>
      </w:r>
      <w:r>
        <w:t xml:space="preserve"> </w:t>
      </w:r>
      <w:r>
        <w:rPr>
          <w:b/>
          <w:bCs/>
        </w:rPr>
        <w:t xml:space="preserve">Reopen condition:</w:t>
      </w:r>
      <w:r>
        <w:t xml:space="preserve"> </w:t>
      </w:r>
      <w:r>
        <w:t xml:space="preserve">Trust binding is revised.</w:t>
      </w:r>
    </w:p>
    <w:bookmarkEnd w:id="423"/>
    <w:bookmarkStart w:id="424" w:name="l.8-c008---established_ubiquity"/>
    <w:p>
      <w:pPr>
        <w:pStyle w:val="Heading2"/>
      </w:pPr>
      <w:r>
        <w:t xml:space="preserve">L.8 C008 - ESTABLISHED_UBIQUITY</w:t>
      </w:r>
    </w:p>
    <w:p>
      <w:pPr>
        <w:pStyle w:val="FirstParagraph"/>
      </w:pPr>
      <w:r>
        <w:t xml:space="preserve">Natural-language projections are subordinate carriers and cannot gain constitutional authority from fluency.</w:t>
      </w:r>
      <w:r>
        <w:t xml:space="preserve"> </w:t>
      </w:r>
      <w:r>
        <w:t xml:space="preserve">-</w:t>
      </w:r>
      <w:r>
        <w:t xml:space="preserve"> </w:t>
      </w:r>
      <w:r>
        <w:rPr>
          <w:b/>
          <w:bCs/>
        </w:rPr>
        <w:t xml:space="preserve">Scope:</w:t>
      </w:r>
      <w:r>
        <w:t xml:space="preserve"> </w:t>
      </w:r>
      <w:r>
        <w:t xml:space="preserve">Projection boundary</w:t>
      </w:r>
      <w:r>
        <w:t xml:space="preserve"> </w:t>
      </w:r>
      <w:r>
        <w:t xml:space="preserve">-</w:t>
      </w:r>
      <w:r>
        <w:t xml:space="preserve"> </w:t>
      </w:r>
      <w:r>
        <w:rPr>
          <w:b/>
          <w:bCs/>
        </w:rPr>
        <w:t xml:space="preserve">Source refs:</w:t>
      </w:r>
      <w:r>
        <w:t xml:space="preserve"> </w:t>
      </w:r>
      <w:r>
        <w:t xml:space="preserve">Prompted2026CGG;Taylor2026OpenCenter</w:t>
      </w:r>
      <w:r>
        <w:t xml:space="preserve"> </w:t>
      </w:r>
      <w:r>
        <w:t xml:space="preserve">-</w:t>
      </w:r>
      <w:r>
        <w:t xml:space="preserve"> </w:t>
      </w:r>
      <w:r>
        <w:rPr>
          <w:b/>
          <w:bCs/>
        </w:rPr>
        <w:t xml:space="preserve">Reopen condition:</w:t>
      </w:r>
      <w:r>
        <w:t xml:space="preserve"> </w:t>
      </w:r>
      <w:r>
        <w:t xml:space="preserve">Projection contract changes.</w:t>
      </w:r>
    </w:p>
    <w:bookmarkEnd w:id="424"/>
    <w:bookmarkStart w:id="425" w:name="l.9-c009---established_ubiquity"/>
    <w:p>
      <w:pPr>
        <w:pStyle w:val="Heading2"/>
      </w:pPr>
      <w:r>
        <w:t xml:space="preserve">L.9 C009 - ESTABLISHED_UBIQUITY</w:t>
      </w:r>
    </w:p>
    <w:p>
      <w:pPr>
        <w:pStyle w:val="FirstParagraph"/>
      </w:pPr>
      <w:r>
        <w:t xml:space="preserve">Source-tense distinctions separate runtime, canonical intent, observation, report, synthesis, inference, and memory.</w:t>
      </w:r>
      <w:r>
        <w:t xml:space="preserve"> </w:t>
      </w:r>
      <w:r>
        <w:t xml:space="preserve">-</w:t>
      </w:r>
      <w:r>
        <w:t xml:space="preserve"> </w:t>
      </w:r>
      <w:r>
        <w:rPr>
          <w:b/>
          <w:bCs/>
        </w:rPr>
        <w:t xml:space="preserve">Scope:</w:t>
      </w:r>
      <w:r>
        <w:t xml:space="preserve"> </w:t>
      </w:r>
      <w:r>
        <w:t xml:space="preserve">Evidence architecture</w:t>
      </w:r>
      <w:r>
        <w:t xml:space="preserve"> </w:t>
      </w:r>
      <w:r>
        <w:t xml:space="preserve">-</w:t>
      </w:r>
      <w:r>
        <w:t xml:space="preserve"> </w:t>
      </w:r>
      <w:r>
        <w:rPr>
          <w:b/>
          <w:bCs/>
        </w:rPr>
        <w:t xml:space="preserve">Source refs:</w:t>
      </w:r>
      <w:r>
        <w:t xml:space="preserve"> </w:t>
      </w:r>
      <w:r>
        <w:t xml:space="preserve">Taylor2026OpenCenter;ForkedArchitecture2026</w:t>
      </w:r>
      <w:r>
        <w:t xml:space="preserve"> </w:t>
      </w:r>
      <w:r>
        <w:t xml:space="preserve">-</w:t>
      </w:r>
      <w:r>
        <w:t xml:space="preserve"> </w:t>
      </w:r>
      <w:r>
        <w:rPr>
          <w:b/>
          <w:bCs/>
        </w:rPr>
        <w:t xml:space="preserve">Reopen condition:</w:t>
      </w:r>
      <w:r>
        <w:t xml:space="preserve"> </w:t>
      </w:r>
      <w:r>
        <w:t xml:space="preserve">Evidence schema changes.</w:t>
      </w:r>
    </w:p>
    <w:bookmarkEnd w:id="425"/>
    <w:bookmarkStart w:id="426" w:name="l.10-c010---established_ubiquity"/>
    <w:p>
      <w:pPr>
        <w:pStyle w:val="Heading2"/>
      </w:pPr>
      <w:r>
        <w:t xml:space="preserve">L.10 C010 - ESTABLISHED_UBIQUITY</w:t>
      </w:r>
    </w:p>
    <w:p>
      <w:pPr>
        <w:pStyle w:val="FirstParagraph"/>
      </w:pPr>
      <w:r>
        <w:t xml:space="preserve">Local component green cannot establish global completion without cross-lane conformance.</w:t>
      </w:r>
      <w:r>
        <w:t xml:space="preserve"> </w:t>
      </w:r>
      <w:r>
        <w:t xml:space="preserve">-</w:t>
      </w:r>
      <w:r>
        <w:t xml:space="preserve"> </w:t>
      </w:r>
      <w:r>
        <w:rPr>
          <w:b/>
          <w:bCs/>
        </w:rPr>
        <w:t xml:space="preserve">Scope:</w:t>
      </w:r>
      <w:r>
        <w:t xml:space="preserve"> </w:t>
      </w:r>
      <w:r>
        <w:t xml:space="preserve">Conformance doctrine</w:t>
      </w:r>
      <w:r>
        <w:t xml:space="preserve"> </w:t>
      </w:r>
      <w:r>
        <w:t xml:space="preserve">-</w:t>
      </w:r>
      <w:r>
        <w:t xml:space="preserve"> </w:t>
      </w:r>
      <w:r>
        <w:rPr>
          <w:b/>
          <w:bCs/>
        </w:rPr>
        <w:t xml:space="preserve">Source refs:</w:t>
      </w:r>
      <w:r>
        <w:t xml:space="preserve"> </w:t>
      </w:r>
      <w:r>
        <w:t xml:space="preserve">Taylor2026OpenCenter</w:t>
      </w:r>
      <w:r>
        <w:t xml:space="preserve"> </w:t>
      </w:r>
      <w:r>
        <w:t xml:space="preserve">-</w:t>
      </w:r>
      <w:r>
        <w:t xml:space="preserve"> </w:t>
      </w:r>
      <w:r>
        <w:rPr>
          <w:b/>
          <w:bCs/>
        </w:rPr>
        <w:t xml:space="preserve">Reopen condition:</w:t>
      </w:r>
      <w:r>
        <w:t xml:space="preserve"> </w:t>
      </w:r>
      <w:r>
        <w:t xml:space="preserve">Parent completion gate changes.</w:t>
      </w:r>
    </w:p>
    <w:bookmarkEnd w:id="426"/>
    <w:bookmarkStart w:id="427" w:name="l.11-c011---implemented_forked_native"/>
    <w:p>
      <w:pPr>
        <w:pStyle w:val="Heading2"/>
      </w:pPr>
      <w:r>
        <w:t xml:space="preserve">L.11 C011 - IMPLEMENTED_FORKED_NATIVE</w:t>
      </w:r>
    </w:p>
    <w:p>
      <w:pPr>
        <w:pStyle w:val="FirstParagraph"/>
      </w:pPr>
      <w:r>
        <w:t xml:space="preserve">FORKED is an internally owned and managed Ubiquity estate specializing observer-indexed reality and state integrity.</w:t>
      </w:r>
      <w:r>
        <w:t xml:space="preserve"> </w:t>
      </w:r>
      <w:r>
        <w:t xml:space="preserve">-</w:t>
      </w:r>
      <w:r>
        <w:t xml:space="preserve"> </w:t>
      </w:r>
      <w:r>
        <w:rPr>
          <w:b/>
          <w:bCs/>
        </w:rPr>
        <w:t xml:space="preserve">Scope:</w:t>
      </w:r>
      <w:r>
        <w:t xml:space="preserve"> </w:t>
      </w:r>
      <w:r>
        <w:t xml:space="preserve">Estate identity</w:t>
      </w:r>
      <w:r>
        <w:t xml:space="preserve"> </w:t>
      </w:r>
      <w:r>
        <w:t xml:space="preserve">-</w:t>
      </w:r>
      <w:r>
        <w:t xml:space="preserve"> </w:t>
      </w:r>
      <w:r>
        <w:rPr>
          <w:b/>
          <w:bCs/>
        </w:rPr>
        <w:t xml:space="preserve">Source refs:</w:t>
      </w:r>
      <w:r>
        <w:t xml:space="preserve"> </w:t>
      </w:r>
      <w:r>
        <w:t xml:space="preserve">ForkedNative2026;ForkedArchitecture2026</w:t>
      </w:r>
      <w:r>
        <w:t xml:space="preserve"> </w:t>
      </w:r>
      <w:r>
        <w:t xml:space="preserve">-</w:t>
      </w:r>
      <w:r>
        <w:t xml:space="preserve"> </w:t>
      </w:r>
      <w:r>
        <w:rPr>
          <w:b/>
          <w:bCs/>
        </w:rPr>
        <w:t xml:space="preserve">Reopen condition:</w:t>
      </w:r>
      <w:r>
        <w:t xml:space="preserve"> </w:t>
      </w:r>
      <w:r>
        <w:t xml:space="preserve">Estate registry changes.</w:t>
      </w:r>
    </w:p>
    <w:bookmarkEnd w:id="427"/>
    <w:bookmarkStart w:id="428" w:name="l.12-c012---implemented_forked_native"/>
    <w:p>
      <w:pPr>
        <w:pStyle w:val="Heading2"/>
      </w:pPr>
      <w:r>
        <w:t xml:space="preserve">L.12 C012 - IMPLEMENTED_FORKED_NATIVE</w:t>
      </w:r>
    </w:p>
    <w:p>
      <w:pPr>
        <w:pStyle w:val="FirstParagraph"/>
      </w:pPr>
      <w:r>
        <w:t xml:space="preserve">The native range encodes Prompted LLC -&gt; Ubiquity -&gt; FQoQ -&gt; splat -&gt; FORKED -&gt; local instance.</w:t>
      </w:r>
      <w:r>
        <w:t xml:space="preserve"> </w:t>
      </w:r>
      <w:r>
        <w:t xml:space="preserve">-</w:t>
      </w:r>
      <w:r>
        <w:t xml:space="preserve"> </w:t>
      </w:r>
      <w:r>
        <w:rPr>
          <w:b/>
          <w:bCs/>
        </w:rPr>
        <w:t xml:space="preserve">Scope:</w:t>
      </w:r>
      <w:r>
        <w:t xml:space="preserve"> </w:t>
      </w:r>
      <w:r>
        <w:t xml:space="preserve">Native parent ordering</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Manifest changes.</w:t>
      </w:r>
    </w:p>
    <w:bookmarkEnd w:id="428"/>
    <w:bookmarkStart w:id="429" w:name="l.13-c013---implemented_forked_native"/>
    <w:p>
      <w:pPr>
        <w:pStyle w:val="Heading2"/>
      </w:pPr>
      <w:r>
        <w:t xml:space="preserve">L.13 C013 - IMPLEMENTED_FORKED_NATIVE</w:t>
      </w:r>
    </w:p>
    <w:p>
      <w:pPr>
        <w:pStyle w:val="FirstParagraph"/>
      </w:pPr>
      <w:r>
        <w:t xml:space="preserve">The local native instance is not a canonical writer.</w:t>
      </w:r>
      <w:r>
        <w:t xml:space="preserve"> </w:t>
      </w:r>
      <w:r>
        <w:t xml:space="preserve">-</w:t>
      </w:r>
      <w:r>
        <w:t xml:space="preserve"> </w:t>
      </w:r>
      <w:r>
        <w:rPr>
          <w:b/>
          <w:bCs/>
        </w:rPr>
        <w:t xml:space="preserve">Scope:</w:t>
      </w:r>
      <w:r>
        <w:t xml:space="preserve"> </w:t>
      </w:r>
      <w:r>
        <w:t xml:space="preserve">Native authority</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Separately admitted deployment changes authority.</w:t>
      </w:r>
    </w:p>
    <w:bookmarkEnd w:id="429"/>
    <w:bookmarkStart w:id="430" w:name="l.14-c014---implemented_forked_native"/>
    <w:p>
      <w:pPr>
        <w:pStyle w:val="Heading2"/>
      </w:pPr>
      <w:r>
        <w:t xml:space="preserve">L.14 C014 - IMPLEMENTED_FORKED_NATIVE</w:t>
      </w:r>
    </w:p>
    <w:p>
      <w:pPr>
        <w:pStyle w:val="FirstParagraph"/>
      </w:pPr>
      <w:r>
        <w:t xml:space="preserve">Six facet-local claim sets and bounded partial recursion are implemented.</w:t>
      </w:r>
      <w:r>
        <w:t xml:space="preserve"> </w:t>
      </w:r>
      <w:r>
        <w:t xml:space="preserve">-</w:t>
      </w:r>
      <w:r>
        <w:t xml:space="preserve"> </w:t>
      </w:r>
      <w:r>
        <w:rPr>
          <w:b/>
          <w:bCs/>
        </w:rPr>
        <w:t xml:space="preserve">Scope:</w:t>
      </w:r>
      <w:r>
        <w:t xml:space="preserve"> </w:t>
      </w:r>
      <w:r>
        <w:t xml:space="preserve">Native splat lattice</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Schema or tests change.</w:t>
      </w:r>
    </w:p>
    <w:bookmarkEnd w:id="430"/>
    <w:bookmarkStart w:id="431" w:name="l.15-c015---implemented_forked_native"/>
    <w:p>
      <w:pPr>
        <w:pStyle w:val="Heading2"/>
      </w:pPr>
      <w:r>
        <w:t xml:space="preserve">L.15 C015 - IMPLEMENTED_FORKED_NATIVE</w:t>
      </w:r>
    </w:p>
    <w:p>
      <w:pPr>
        <w:pStyle w:val="FirstParagraph"/>
      </w:pPr>
      <w:r>
        <w:t xml:space="preserve">Natural-language projections retain a lattice digest, branch states, source-tense, and proposal-only authority ceiling.</w:t>
      </w:r>
      <w:r>
        <w:t xml:space="preserve"> </w:t>
      </w:r>
      <w:r>
        <w:t xml:space="preserve">-</w:t>
      </w:r>
      <w:r>
        <w:t xml:space="preserve"> </w:t>
      </w:r>
      <w:r>
        <w:rPr>
          <w:b/>
          <w:bCs/>
        </w:rPr>
        <w:t xml:space="preserve">Scope:</w:t>
      </w:r>
      <w:r>
        <w:t xml:space="preserve"> </w:t>
      </w:r>
      <w:r>
        <w:t xml:space="preserve">Native language compiler</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Compiler contract changes.</w:t>
      </w:r>
    </w:p>
    <w:bookmarkEnd w:id="431"/>
    <w:bookmarkStart w:id="432" w:name="l.16-c016---implemented_forked_native"/>
    <w:p>
      <w:pPr>
        <w:pStyle w:val="Heading2"/>
      </w:pPr>
      <w:r>
        <w:t xml:space="preserve">L.16 C016 - IMPLEMENTED_FORKED_NATIVE</w:t>
      </w:r>
    </w:p>
    <w:p>
      <w:pPr>
        <w:pStyle w:val="FirstParagraph"/>
      </w:pPr>
      <w:r>
        <w:t xml:space="preserve">Terrain matching makes shape dominant and recency a bounded modifier.</w:t>
      </w:r>
      <w:r>
        <w:t xml:space="preserve"> </w:t>
      </w:r>
      <w:r>
        <w:t xml:space="preserve">-</w:t>
      </w:r>
      <w:r>
        <w:t xml:space="preserve"> </w:t>
      </w:r>
      <w:r>
        <w:rPr>
          <w:b/>
          <w:bCs/>
        </w:rPr>
        <w:t xml:space="preserve">Scope:</w:t>
      </w:r>
      <w:r>
        <w:t xml:space="preserve"> </w:t>
      </w:r>
      <w:r>
        <w:t xml:space="preserve">Native terrain matcher</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Scoring policy changes.</w:t>
      </w:r>
    </w:p>
    <w:bookmarkEnd w:id="432"/>
    <w:bookmarkStart w:id="433" w:name="l.17-c017---implemented_forked_native"/>
    <w:p>
      <w:pPr>
        <w:pStyle w:val="Heading2"/>
      </w:pPr>
      <w:r>
        <w:t xml:space="preserve">L.17 C017 - IMPLEMENTED_FORKED_NATIVE</w:t>
      </w:r>
    </w:p>
    <w:p>
      <w:pPr>
        <w:pStyle w:val="FirstParagraph"/>
      </w:pPr>
      <w:r>
        <w:t xml:space="preserve">Longitudinal first and second differences are tracked across structural terrain dimensions.</w:t>
      </w:r>
      <w:r>
        <w:t xml:space="preserve"> </w:t>
      </w:r>
      <w:r>
        <w:t xml:space="preserve">-</w:t>
      </w:r>
      <w:r>
        <w:t xml:space="preserve"> </w:t>
      </w:r>
      <w:r>
        <w:rPr>
          <w:b/>
          <w:bCs/>
        </w:rPr>
        <w:t xml:space="preserve">Scope:</w:t>
      </w:r>
      <w:r>
        <w:t xml:space="preserve"> </w:t>
      </w:r>
      <w:r>
        <w:t xml:space="preserve">Native trajectory tracker</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Tracker changes.</w:t>
      </w:r>
    </w:p>
    <w:bookmarkEnd w:id="433"/>
    <w:bookmarkStart w:id="434" w:name="l.18-c018---implemented_forked_native"/>
    <w:p>
      <w:pPr>
        <w:pStyle w:val="Heading2"/>
      </w:pPr>
      <w:r>
        <w:t xml:space="preserve">L.18 C018 - IMPLEMENTED_FORKED_NATIVE</w:t>
      </w:r>
    </w:p>
    <w:p>
      <w:pPr>
        <w:pStyle w:val="FirstParagraph"/>
      </w:pPr>
      <w:r>
        <w:t xml:space="preserve">The Aesop field emits a mixture, never an argmax verdict, and treats fables as non-citable pressure.</w:t>
      </w:r>
      <w:r>
        <w:t xml:space="preserve"> </w:t>
      </w:r>
      <w:r>
        <w:t xml:space="preserve">-</w:t>
      </w:r>
      <w:r>
        <w:t xml:space="preserve"> </w:t>
      </w:r>
      <w:r>
        <w:rPr>
          <w:b/>
          <w:bCs/>
        </w:rPr>
        <w:t xml:space="preserve">Scope:</w:t>
      </w:r>
      <w:r>
        <w:t xml:space="preserve"> </w:t>
      </w:r>
      <w:r>
        <w:t xml:space="preserve">Native fable field</w:t>
      </w:r>
      <w:r>
        <w:t xml:space="preserve"> </w:t>
      </w:r>
      <w:r>
        <w:t xml:space="preserve">-</w:t>
      </w:r>
      <w:r>
        <w:t xml:space="preserve"> </w:t>
      </w:r>
      <w:r>
        <w:rPr>
          <w:b/>
          <w:bCs/>
        </w:rPr>
        <w:t xml:space="preserve">Source refs:</w:t>
      </w:r>
      <w:r>
        <w:t xml:space="preserve"> </w:t>
      </w:r>
      <w:r>
        <w:t xml:space="preserve">AesopField2026</w:t>
      </w:r>
      <w:r>
        <w:t xml:space="preserve"> </w:t>
      </w:r>
      <w:r>
        <w:t xml:space="preserve">-</w:t>
      </w:r>
      <w:r>
        <w:t xml:space="preserve"> </w:t>
      </w:r>
      <w:r>
        <w:rPr>
          <w:b/>
          <w:bCs/>
        </w:rPr>
        <w:t xml:space="preserve">Reopen condition:</w:t>
      </w:r>
      <w:r>
        <w:t xml:space="preserve"> </w:t>
      </w:r>
      <w:r>
        <w:t xml:space="preserve">Field contract changes.</w:t>
      </w:r>
    </w:p>
    <w:bookmarkEnd w:id="434"/>
    <w:bookmarkStart w:id="435" w:name="l.19-c019---implemented_forked_native"/>
    <w:p>
      <w:pPr>
        <w:pStyle w:val="Heading2"/>
      </w:pPr>
      <w:r>
        <w:t xml:space="preserve">L.19 C019 - IMPLEMENTED_FORKED_NATIVE</w:t>
      </w:r>
    </w:p>
    <w:p>
      <w:pPr>
        <w:pStyle w:val="FirstParagraph"/>
      </w:pPr>
      <w:r>
        <w:t xml:space="preserve">APO enforcement remains active independently of whether caution is expressed.</w:t>
      </w:r>
      <w:r>
        <w:t xml:space="preserve"> </w:t>
      </w:r>
      <w:r>
        <w:t xml:space="preserve">-</w:t>
      </w:r>
      <w:r>
        <w:t xml:space="preserve"> </w:t>
      </w:r>
      <w:r>
        <w:rPr>
          <w:b/>
          <w:bCs/>
        </w:rPr>
        <w:t xml:space="preserve">Scope:</w:t>
      </w:r>
      <w:r>
        <w:t xml:space="preserve"> </w:t>
      </w:r>
      <w:r>
        <w:t xml:space="preserve">Fable/splat enforcement</w:t>
      </w:r>
      <w:r>
        <w:t xml:space="preserve"> </w:t>
      </w:r>
      <w:r>
        <w:t xml:space="preserve">-</w:t>
      </w:r>
      <w:r>
        <w:t xml:space="preserve"> </w:t>
      </w:r>
      <w:r>
        <w:rPr>
          <w:b/>
          <w:bCs/>
        </w:rPr>
        <w:t xml:space="preserve">Source refs:</w:t>
      </w:r>
      <w:r>
        <w:t xml:space="preserve"> </w:t>
      </w:r>
      <w:r>
        <w:t xml:space="preserve">AesopField2026</w:t>
      </w:r>
      <w:r>
        <w:t xml:space="preserve"> </w:t>
      </w:r>
      <w:r>
        <w:t xml:space="preserve">-</w:t>
      </w:r>
      <w:r>
        <w:t xml:space="preserve"> </w:t>
      </w:r>
      <w:r>
        <w:rPr>
          <w:b/>
          <w:bCs/>
        </w:rPr>
        <w:t xml:space="preserve">Reopen condition:</w:t>
      </w:r>
      <w:r>
        <w:t xml:space="preserve"> </w:t>
      </w:r>
      <w:r>
        <w:t xml:space="preserve">Enforcement-expression split changes.</w:t>
      </w:r>
    </w:p>
    <w:bookmarkEnd w:id="435"/>
    <w:bookmarkStart w:id="436" w:name="l.20-c020---implemented_forked_native"/>
    <w:p>
      <w:pPr>
        <w:pStyle w:val="Heading2"/>
      </w:pPr>
      <w:r>
        <w:t xml:space="preserve">L.20 C020 - IMPLEMENTED_FORKED_NATIVE</w:t>
      </w:r>
    </w:p>
    <w:p>
      <w:pPr>
        <w:pStyle w:val="FirstParagraph"/>
      </w:pPr>
      <w:r>
        <w:t xml:space="preserve">Responsibility mechanics include cables, winches, clamps, blast radius, PONR, and correction capacity.</w:t>
      </w:r>
      <w:r>
        <w:t xml:space="preserve"> </w:t>
      </w:r>
      <w:r>
        <w:t xml:space="preserve">-</w:t>
      </w:r>
      <w:r>
        <w:t xml:space="preserve"> </w:t>
      </w:r>
      <w:r>
        <w:rPr>
          <w:b/>
          <w:bCs/>
        </w:rPr>
        <w:t xml:space="preserve">Scope:</w:t>
      </w:r>
      <w:r>
        <w:t xml:space="preserve"> </w:t>
      </w:r>
      <w:r>
        <w:t xml:space="preserve">Native responsibility mechanics</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Responsibility model changes.</w:t>
      </w:r>
    </w:p>
    <w:bookmarkEnd w:id="436"/>
    <w:bookmarkStart w:id="437" w:name="l.21-c021---implemented_forked_native"/>
    <w:p>
      <w:pPr>
        <w:pStyle w:val="Heading2"/>
      </w:pPr>
      <w:r>
        <w:t xml:space="preserve">L.21 C021 - IMPLEMENTED_FORKED_NATIVE</w:t>
      </w:r>
    </w:p>
    <w:p>
      <w:pPr>
        <w:pStyle w:val="FirstParagraph"/>
      </w:pPr>
      <w:r>
        <w:t xml:space="preserve">The threshold engine evaluates both action and delay hazards.</w:t>
      </w:r>
      <w:r>
        <w:t xml:space="preserve"> </w:t>
      </w:r>
      <w:r>
        <w:t xml:space="preserve">-</w:t>
      </w:r>
      <w:r>
        <w:t xml:space="preserve"> </w:t>
      </w:r>
      <w:r>
        <w:rPr>
          <w:b/>
          <w:bCs/>
        </w:rPr>
        <w:t xml:space="preserve">Scope:</w:t>
      </w:r>
      <w:r>
        <w:t xml:space="preserve"> </w:t>
      </w:r>
      <w:r>
        <w:t xml:space="preserve">Native dual-clamp threshold</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Threshold engine changes.</w:t>
      </w:r>
    </w:p>
    <w:bookmarkEnd w:id="437"/>
    <w:bookmarkStart w:id="438" w:name="l.22-c022---implemented_forked_native"/>
    <w:p>
      <w:pPr>
        <w:pStyle w:val="Heading2"/>
      </w:pPr>
      <w:r>
        <w:t xml:space="preserve">L.22 C022 - IMPLEMENTED_FORKED_NATIVE</w:t>
      </w:r>
    </w:p>
    <w:p>
      <w:pPr>
        <w:pStyle w:val="FirstParagraph"/>
      </w:pPr>
      <w:r>
        <w:t xml:space="preserve">Local DAGs and a typed meta-DAG represent hidden joins, false-green nodes, blast radius, and correction fan-out.</w:t>
      </w:r>
      <w:r>
        <w:t xml:space="preserve"> </w:t>
      </w:r>
      <w:r>
        <w:t xml:space="preserve">-</w:t>
      </w:r>
      <w:r>
        <w:t xml:space="preserve"> </w:t>
      </w:r>
      <w:r>
        <w:rPr>
          <w:b/>
          <w:bCs/>
        </w:rPr>
        <w:t xml:space="preserve">Scope:</w:t>
      </w:r>
      <w:r>
        <w:t xml:space="preserve"> </w:t>
      </w:r>
      <w:r>
        <w:t xml:space="preserve">Native graph engine</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Graph algorithm changes.</w:t>
      </w:r>
    </w:p>
    <w:bookmarkEnd w:id="438"/>
    <w:bookmarkStart w:id="439" w:name="l.23-c023---implemented_forked_native"/>
    <w:p>
      <w:pPr>
        <w:pStyle w:val="Heading2"/>
      </w:pPr>
      <w:r>
        <w:t xml:space="preserve">L.23 C023 - IMPLEMENTED_FORKED_NATIVE</w:t>
      </w:r>
    </w:p>
    <w:p>
      <w:pPr>
        <w:pStyle w:val="FirstParagraph"/>
      </w:pPr>
      <w:r>
        <w:t xml:space="preserve">Task, mission, battle, campaign, war, and strategic lanes remain separately typed.</w:t>
      </w:r>
      <w:r>
        <w:t xml:space="preserve"> </w:t>
      </w:r>
      <w:r>
        <w:t xml:space="preserve">-</w:t>
      </w:r>
      <w:r>
        <w:t xml:space="preserve"> </w:t>
      </w:r>
      <w:r>
        <w:rPr>
          <w:b/>
          <w:bCs/>
        </w:rPr>
        <w:t xml:space="preserve">Scope:</w:t>
      </w:r>
      <w:r>
        <w:t xml:space="preserve"> </w:t>
      </w:r>
      <w:r>
        <w:t xml:space="preserve">Native mission geometry</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Mission geometry changes.</w:t>
      </w:r>
    </w:p>
    <w:bookmarkEnd w:id="439"/>
    <w:bookmarkStart w:id="440" w:name="l.24-c024---implemented_forked_native"/>
    <w:p>
      <w:pPr>
        <w:pStyle w:val="Heading2"/>
      </w:pPr>
      <w:r>
        <w:t xml:space="preserve">L.24 C024 - IMPLEMENTED_FORKED_NATIVE</w:t>
      </w:r>
    </w:p>
    <w:p>
      <w:pPr>
        <w:pStyle w:val="FirstParagraph"/>
      </w:pPr>
      <w:r>
        <w:t xml:space="preserve">Sight is decomposed into geometry, sensor envelope, sampling, transport, rendering, attention, classification, acknowledgment, and action.</w:t>
      </w:r>
      <w:r>
        <w:t xml:space="preserve"> </w:t>
      </w:r>
      <w:r>
        <w:t xml:space="preserve">-</w:t>
      </w:r>
      <w:r>
        <w:t xml:space="preserve"> </w:t>
      </w:r>
      <w:r>
        <w:rPr>
          <w:b/>
          <w:bCs/>
        </w:rPr>
        <w:t xml:space="preserve">Scope:</w:t>
      </w:r>
      <w:r>
        <w:t xml:space="preserve"> </w:t>
      </w:r>
      <w:r>
        <w:t xml:space="preserve">Native SightState</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Observer schema changes.</w:t>
      </w:r>
    </w:p>
    <w:bookmarkEnd w:id="440"/>
    <w:bookmarkStart w:id="441" w:name="l.25-c025---implemented_forked_native"/>
    <w:p>
      <w:pPr>
        <w:pStyle w:val="Heading2"/>
      </w:pPr>
      <w:r>
        <w:t xml:space="preserve">L.25 C025 - IMPLEMENTED_FORKED_NATIVE</w:t>
      </w:r>
    </w:p>
    <w:p>
      <w:pPr>
        <w:pStyle w:val="FirstParagraph"/>
      </w:pPr>
      <w:r>
        <w:t xml:space="preserve">Physical, observed, inferred, declared, verified, and remembered states remain separately typed.</w:t>
      </w:r>
      <w:r>
        <w:t xml:space="preserve"> </w:t>
      </w:r>
      <w:r>
        <w:t xml:space="preserve">-</w:t>
      </w:r>
      <w:r>
        <w:t xml:space="preserve"> </w:t>
      </w:r>
      <w:r>
        <w:rPr>
          <w:b/>
          <w:bCs/>
        </w:rPr>
        <w:t xml:space="preserve">Scope:</w:t>
      </w:r>
      <w:r>
        <w:t xml:space="preserve"> </w:t>
      </w:r>
      <w:r>
        <w:t xml:space="preserve">Native observer model</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State model changes.</w:t>
      </w:r>
    </w:p>
    <w:bookmarkEnd w:id="441"/>
    <w:bookmarkStart w:id="442" w:name="l.26-c026---implemented_forked_native"/>
    <w:p>
      <w:pPr>
        <w:pStyle w:val="Heading2"/>
      </w:pPr>
      <w:r>
        <w:t xml:space="preserve">L.26 C026 - IMPLEMENTED_FORKED_NATIVE</w:t>
      </w:r>
    </w:p>
    <w:p>
      <w:pPr>
        <w:pStyle w:val="FirstParagraph"/>
      </w:pPr>
      <w:r>
        <w:t xml:space="preserve">Sensory buffers are TTL-bound and cannot self-elevate.</w:t>
      </w:r>
      <w:r>
        <w:t xml:space="preserve"> </w:t>
      </w:r>
      <w:r>
        <w:t xml:space="preserve">-</w:t>
      </w:r>
      <w:r>
        <w:t xml:space="preserve"> </w:t>
      </w:r>
      <w:r>
        <w:rPr>
          <w:b/>
          <w:bCs/>
        </w:rPr>
        <w:t xml:space="preserve">Scope:</w:t>
      </w:r>
      <w:r>
        <w:t xml:space="preserve"> </w:t>
      </w:r>
      <w:r>
        <w:t xml:space="preserve">Native sensory lane</w:t>
      </w:r>
      <w:r>
        <w:t xml:space="preserve"> </w:t>
      </w:r>
      <w:r>
        <w:t xml:space="preserve">-</w:t>
      </w:r>
      <w:r>
        <w:t xml:space="preserve"> </w:t>
      </w:r>
      <w:r>
        <w:rPr>
          <w:b/>
          <w:bCs/>
        </w:rPr>
        <w:t xml:space="preserve">Source refs:</w:t>
      </w:r>
      <w:r>
        <w:t xml:space="preserve"> </w:t>
      </w:r>
      <w:r>
        <w:t xml:space="preserve">SensorySpec2026;ForkedNative2026</w:t>
      </w:r>
      <w:r>
        <w:t xml:space="preserve"> </w:t>
      </w:r>
      <w:r>
        <w:t xml:space="preserve">-</w:t>
      </w:r>
      <w:r>
        <w:t xml:space="preserve"> </w:t>
      </w:r>
      <w:r>
        <w:rPr>
          <w:b/>
          <w:bCs/>
        </w:rPr>
        <w:t xml:space="preserve">Reopen condition:</w:t>
      </w:r>
      <w:r>
        <w:t xml:space="preserve"> </w:t>
      </w:r>
      <w:r>
        <w:t xml:space="preserve">Sensory policy changes.</w:t>
      </w:r>
    </w:p>
    <w:bookmarkEnd w:id="442"/>
    <w:bookmarkStart w:id="443" w:name="l.27-c027---implemented_forked_native"/>
    <w:p>
      <w:pPr>
        <w:pStyle w:val="Heading2"/>
      </w:pPr>
      <w:r>
        <w:t xml:space="preserve">L.27 C027 - IMPLEMENTED_FORKED_NATIVE</w:t>
      </w:r>
    </w:p>
    <w:p>
      <w:pPr>
        <w:pStyle w:val="FirstParagraph"/>
      </w:pPr>
      <w:r>
        <w:t xml:space="preserve">Cache quarantine traverses retrieval and derivation dependencies.</w:t>
      </w:r>
      <w:r>
        <w:t xml:space="preserve"> </w:t>
      </w:r>
      <w:r>
        <w:t xml:space="preserve">-</w:t>
      </w:r>
      <w:r>
        <w:t xml:space="preserve"> </w:t>
      </w:r>
      <w:r>
        <w:rPr>
          <w:b/>
          <w:bCs/>
        </w:rPr>
        <w:t xml:space="preserve">Scope:</w:t>
      </w:r>
      <w:r>
        <w:t xml:space="preserve"> </w:t>
      </w:r>
      <w:r>
        <w:t xml:space="preserve">Native cache lane</w:t>
      </w:r>
      <w:r>
        <w:t xml:space="preserve"> </w:t>
      </w:r>
      <w:r>
        <w:t xml:space="preserve">-</w:t>
      </w:r>
      <w:r>
        <w:t xml:space="preserve"> </w:t>
      </w:r>
      <w:r>
        <w:rPr>
          <w:b/>
          <w:bCs/>
        </w:rPr>
        <w:t xml:space="preserve">Source refs:</w:t>
      </w:r>
      <w:r>
        <w:t xml:space="preserve"> </w:t>
      </w:r>
      <w:r>
        <w:t xml:space="preserve">CachePoisoning2026;ForkedNative2026</w:t>
      </w:r>
      <w:r>
        <w:t xml:space="preserve"> </w:t>
      </w:r>
      <w:r>
        <w:t xml:space="preserve">-</w:t>
      </w:r>
      <w:r>
        <w:t xml:space="preserve"> </w:t>
      </w:r>
      <w:r>
        <w:rPr>
          <w:b/>
          <w:bCs/>
        </w:rPr>
        <w:t xml:space="preserve">Reopen condition:</w:t>
      </w:r>
      <w:r>
        <w:t xml:space="preserve"> </w:t>
      </w:r>
      <w:r>
        <w:t xml:space="preserve">Cache response changes.</w:t>
      </w:r>
    </w:p>
    <w:bookmarkEnd w:id="443"/>
    <w:bookmarkStart w:id="444" w:name="l.28-c028---implemented_forked_native"/>
    <w:p>
      <w:pPr>
        <w:pStyle w:val="Heading2"/>
      </w:pPr>
      <w:r>
        <w:t xml:space="preserve">L.28 C028 - IMPLEMENTED_FORKED_NATIVE</w:t>
      </w:r>
    </w:p>
    <w:p>
      <w:pPr>
        <w:pStyle w:val="FirstParagraph"/>
      </w:pPr>
      <w:r>
        <w:t xml:space="preserve">Citizen identity, lineage, maturity, lifecycle, authority, and methylation are implemented.</w:t>
      </w:r>
      <w:r>
        <w:t xml:space="preserve"> </w:t>
      </w:r>
      <w:r>
        <w:t xml:space="preserve">-</w:t>
      </w:r>
      <w:r>
        <w:t xml:space="preserve"> </w:t>
      </w:r>
      <w:r>
        <w:rPr>
          <w:b/>
          <w:bCs/>
        </w:rPr>
        <w:t xml:space="preserve">Scope:</w:t>
      </w:r>
      <w:r>
        <w:t xml:space="preserve"> </w:t>
      </w:r>
      <w:r>
        <w:t xml:space="preserve">Native lifecycle lane</w:t>
      </w:r>
      <w:r>
        <w:t xml:space="preserve"> </w:t>
      </w:r>
      <w:r>
        <w:t xml:space="preserve">-</w:t>
      </w:r>
      <w:r>
        <w:t xml:space="preserve"> </w:t>
      </w:r>
      <w:r>
        <w:rPr>
          <w:b/>
          <w:bCs/>
        </w:rPr>
        <w:t xml:space="preserve">Source refs:</w:t>
      </w:r>
      <w:r>
        <w:t xml:space="preserve"> </w:t>
      </w:r>
      <w:r>
        <w:t xml:space="preserve">CitizenLifecycle2026;ForkedNative2026</w:t>
      </w:r>
      <w:r>
        <w:t xml:space="preserve"> </w:t>
      </w:r>
      <w:r>
        <w:t xml:space="preserve">-</w:t>
      </w:r>
      <w:r>
        <w:t xml:space="preserve"> </w:t>
      </w:r>
      <w:r>
        <w:rPr>
          <w:b/>
          <w:bCs/>
        </w:rPr>
        <w:t xml:space="preserve">Reopen condition:</w:t>
      </w:r>
      <w:r>
        <w:t xml:space="preserve"> </w:t>
      </w:r>
      <w:r>
        <w:t xml:space="preserve">Lifecycle implementation changes.</w:t>
      </w:r>
    </w:p>
    <w:bookmarkEnd w:id="444"/>
    <w:bookmarkStart w:id="445" w:name="l.29-c029---implemented_forked_native"/>
    <w:p>
      <w:pPr>
        <w:pStyle w:val="Heading2"/>
      </w:pPr>
      <w:r>
        <w:t xml:space="preserve">L.29 C029 - IMPLEMENTED_FORKED_NATIVE</w:t>
      </w:r>
    </w:p>
    <w:p>
      <w:pPr>
        <w:pStyle w:val="FirstParagraph"/>
      </w:pPr>
      <w:r>
        <w:t xml:space="preserve">HUNGER, Physarum/Lichen biome, economy cadence, shadow economy, and pricing adapters execute in the local range.</w:t>
      </w:r>
      <w:r>
        <w:t xml:space="preserve"> </w:t>
      </w:r>
      <w:r>
        <w:t xml:space="preserve">-</w:t>
      </w:r>
      <w:r>
        <w:t xml:space="preserve"> </w:t>
      </w:r>
      <w:r>
        <w:rPr>
          <w:b/>
          <w:bCs/>
        </w:rPr>
        <w:t xml:space="preserve">Scope:</w:t>
      </w:r>
      <w:r>
        <w:t xml:space="preserve"> </w:t>
      </w:r>
      <w:r>
        <w:t xml:space="preserve">Native wider lanes</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Integrated execution fails or source changes.</w:t>
      </w:r>
    </w:p>
    <w:bookmarkEnd w:id="445"/>
    <w:bookmarkStart w:id="446" w:name="l.30-c030---implemented_forked_native"/>
    <w:p>
      <w:pPr>
        <w:pStyle w:val="Heading2"/>
      </w:pPr>
      <w:r>
        <w:t xml:space="preserve">L.30 C030 - IMPLEMENTED_FORKED_NATIVE</w:t>
      </w:r>
    </w:p>
    <w:p>
      <w:pPr>
        <w:pStyle w:val="FirstParagraph"/>
      </w:pPr>
      <w:r>
        <w:t xml:space="preserve">The native release emits schemas, receipts, source hashes, run records, and verification manifests.</w:t>
      </w:r>
      <w:r>
        <w:t xml:space="preserve"> </w:t>
      </w:r>
      <w:r>
        <w:t xml:space="preserve">-</w:t>
      </w:r>
      <w:r>
        <w:t xml:space="preserve"> </w:t>
      </w:r>
      <w:r>
        <w:rPr>
          <w:b/>
          <w:bCs/>
        </w:rPr>
        <w:t xml:space="preserve">Scope:</w:t>
      </w:r>
      <w:r>
        <w:t xml:space="preserve"> </w:t>
      </w:r>
      <w:r>
        <w:t xml:space="preserve">Native reproducibility</w:t>
      </w:r>
      <w:r>
        <w:t xml:space="preserve"> </w:t>
      </w:r>
      <w:r>
        <w:t xml:space="preserve">-</w:t>
      </w:r>
      <w:r>
        <w:t xml:space="preserve"> </w:t>
      </w:r>
      <w:r>
        <w:rPr>
          <w:b/>
          <w:bCs/>
        </w:rPr>
        <w:t xml:space="preserve">Source refs:</w:t>
      </w:r>
      <w:r>
        <w:t xml:space="preserve"> </w:t>
      </w:r>
      <w:r>
        <w:t xml:space="preserve">ForkedNative2026</w:t>
      </w:r>
      <w:r>
        <w:t xml:space="preserve"> </w:t>
      </w:r>
      <w:r>
        <w:t xml:space="preserve">-</w:t>
      </w:r>
      <w:r>
        <w:t xml:space="preserve"> </w:t>
      </w:r>
      <w:r>
        <w:rPr>
          <w:b/>
          <w:bCs/>
        </w:rPr>
        <w:t xml:space="preserve">Reopen condition:</w:t>
      </w:r>
      <w:r>
        <w:t xml:space="preserve"> </w:t>
      </w:r>
      <w:r>
        <w:t xml:space="preserve">Build process changes.</w:t>
      </w:r>
    </w:p>
    <w:bookmarkEnd w:id="446"/>
    <w:bookmarkStart w:id="447" w:name="l.31-c031---component_or_synthetic"/>
    <w:p>
      <w:pPr>
        <w:pStyle w:val="Heading2"/>
      </w:pPr>
      <w:r>
        <w:t xml:space="preserve">L.31 C031 - COMPONENT_OR_SYNTHETIC</w:t>
      </w:r>
    </w:p>
    <w:p>
      <w:pPr>
        <w:pStyle w:val="FirstParagraph"/>
      </w:pPr>
      <w:r>
        <w:t xml:space="preserve">The supplied Aesop component passes deterministic selftests for mixture, APO, PONR, center exclusion, receipts, and dispositions.</w:t>
      </w:r>
      <w:r>
        <w:t xml:space="preserve"> </w:t>
      </w:r>
      <w:r>
        <w:t xml:space="preserve">-</w:t>
      </w:r>
      <w:r>
        <w:t xml:space="preserve"> </w:t>
      </w:r>
      <w:r>
        <w:rPr>
          <w:b/>
          <w:bCs/>
        </w:rPr>
        <w:t xml:space="preserve">Scope:</w:t>
      </w:r>
      <w:r>
        <w:t xml:space="preserve"> </w:t>
      </w:r>
      <w:r>
        <w:t xml:space="preserve">Recorded component environment</w:t>
      </w:r>
      <w:r>
        <w:t xml:space="preserve"> </w:t>
      </w:r>
      <w:r>
        <w:t xml:space="preserve">-</w:t>
      </w:r>
      <w:r>
        <w:t xml:space="preserve"> </w:t>
      </w:r>
      <w:r>
        <w:rPr>
          <w:b/>
          <w:bCs/>
        </w:rPr>
        <w:t xml:space="preserve">Source refs:</w:t>
      </w:r>
      <w:r>
        <w:t xml:space="preserve"> </w:t>
      </w:r>
      <w:r>
        <w:t xml:space="preserve">AesopField2026;ForkedCampaign2026</w:t>
      </w:r>
      <w:r>
        <w:t xml:space="preserve"> </w:t>
      </w:r>
      <w:r>
        <w:t xml:space="preserve">-</w:t>
      </w:r>
      <w:r>
        <w:t xml:space="preserve"> </w:t>
      </w:r>
      <w:r>
        <w:rPr>
          <w:b/>
          <w:bCs/>
        </w:rPr>
        <w:t xml:space="preserve">Reopen condition:</w:t>
      </w:r>
      <w:r>
        <w:t xml:space="preserve"> </w:t>
      </w:r>
      <w:r>
        <w:t xml:space="preserve">Component selftest fails.</w:t>
      </w:r>
    </w:p>
    <w:bookmarkEnd w:id="447"/>
    <w:bookmarkStart w:id="448" w:name="l.32-c032---component_or_synthetic"/>
    <w:p>
      <w:pPr>
        <w:pStyle w:val="Heading2"/>
      </w:pPr>
      <w:r>
        <w:t xml:space="preserve">L.32 C032 - COMPONENT_OR_SYNTHETIC</w:t>
      </w:r>
    </w:p>
    <w:p>
      <w:pPr>
        <w:pStyle w:val="FirstParagraph"/>
      </w:pPr>
      <w:r>
        <w:t xml:space="preserve">The shadow economy structurally refuses a live buffer.</w:t>
      </w:r>
      <w:r>
        <w:t xml:space="preserve"> </w:t>
      </w:r>
      <w:r>
        <w:t xml:space="preserve">-</w:t>
      </w:r>
      <w:r>
        <w:t xml:space="preserve"> </w:t>
      </w:r>
      <w:r>
        <w:rPr>
          <w:b/>
          <w:bCs/>
        </w:rPr>
        <w:t xml:space="preserve">Scope:</w:t>
      </w:r>
      <w:r>
        <w:t xml:space="preserve"> </w:t>
      </w:r>
      <w:r>
        <w:t xml:space="preserve">Recorded component environment</w:t>
      </w:r>
      <w:r>
        <w:t xml:space="preserve"> </w:t>
      </w:r>
      <w:r>
        <w:t xml:space="preserve">-</w:t>
      </w:r>
      <w:r>
        <w:t xml:space="preserve"> </w:t>
      </w:r>
      <w:r>
        <w:rPr>
          <w:b/>
          <w:bCs/>
        </w:rPr>
        <w:t xml:space="preserve">Source refs:</w:t>
      </w:r>
      <w:r>
        <w:t xml:space="preserve"> </w:t>
      </w:r>
      <w:r>
        <w:t xml:space="preserve">ShadowEconomy2026;ForkedCampaign2026</w:t>
      </w:r>
      <w:r>
        <w:t xml:space="preserve"> </w:t>
      </w:r>
      <w:r>
        <w:t xml:space="preserve">-</w:t>
      </w:r>
      <w:r>
        <w:t xml:space="preserve"> </w:t>
      </w:r>
      <w:r>
        <w:rPr>
          <w:b/>
          <w:bCs/>
        </w:rPr>
        <w:t xml:space="preserve">Reopen condition:</w:t>
      </w:r>
      <w:r>
        <w:t xml:space="preserve"> </w:t>
      </w:r>
      <w:r>
        <w:t xml:space="preserve">A shadow mutates live state.</w:t>
      </w:r>
    </w:p>
    <w:bookmarkEnd w:id="448"/>
    <w:bookmarkStart w:id="449" w:name="l.33-c033---component_or_synthetic"/>
    <w:p>
      <w:pPr>
        <w:pStyle w:val="Heading2"/>
      </w:pPr>
      <w:r>
        <w:t xml:space="preserve">L.33 C033 - COMPONENT_OR_SYNTHETIC</w:t>
      </w:r>
    </w:p>
    <w:p>
      <w:pPr>
        <w:pStyle w:val="FirstParagraph"/>
      </w:pPr>
      <w:r>
        <w:t xml:space="preserve">Economy cadence holds the federal anchor while allowing estate-local micro-cycle motion.</w:t>
      </w:r>
      <w:r>
        <w:t xml:space="preserve"> </w:t>
      </w:r>
      <w:r>
        <w:t xml:space="preserve">-</w:t>
      </w:r>
      <w:r>
        <w:t xml:space="preserve"> </w:t>
      </w:r>
      <w:r>
        <w:rPr>
          <w:b/>
          <w:bCs/>
        </w:rPr>
        <w:t xml:space="preserve">Scope:</w:t>
      </w:r>
      <w:r>
        <w:t xml:space="preserve"> </w:t>
      </w:r>
      <w:r>
        <w:t xml:space="preserve">Recorded component environment</w:t>
      </w:r>
      <w:r>
        <w:t xml:space="preserve"> </w:t>
      </w:r>
      <w:r>
        <w:t xml:space="preserve">-</w:t>
      </w:r>
      <w:r>
        <w:t xml:space="preserve"> </w:t>
      </w:r>
      <w:r>
        <w:rPr>
          <w:b/>
          <w:bCs/>
        </w:rPr>
        <w:t xml:space="preserve">Source refs:</w:t>
      </w:r>
      <w:r>
        <w:t xml:space="preserve"> </w:t>
      </w:r>
      <w:r>
        <w:t xml:space="preserve">EconomyCadence2026;ForkedCampaign2026</w:t>
      </w:r>
      <w:r>
        <w:t xml:space="preserve"> </w:t>
      </w:r>
      <w:r>
        <w:t xml:space="preserve">-</w:t>
      </w:r>
      <w:r>
        <w:t xml:space="preserve"> </w:t>
      </w:r>
      <w:r>
        <w:rPr>
          <w:b/>
          <w:bCs/>
        </w:rPr>
        <w:t xml:space="preserve">Reopen condition:</w:t>
      </w:r>
      <w:r>
        <w:t xml:space="preserve"> </w:t>
      </w:r>
      <w:r>
        <w:t xml:space="preserve">Anchor mutates through estate API.</w:t>
      </w:r>
    </w:p>
    <w:bookmarkEnd w:id="449"/>
    <w:bookmarkStart w:id="450" w:name="l.34-c034---component_or_synthetic"/>
    <w:p>
      <w:pPr>
        <w:pStyle w:val="Heading2"/>
      </w:pPr>
      <w:r>
        <w:t xml:space="preserve">L.34 C034 - COMPONENT_OR_SYNTHETIC</w:t>
      </w:r>
    </w:p>
    <w:p>
      <w:pPr>
        <w:pStyle w:val="FirstParagraph"/>
      </w:pPr>
      <w:r>
        <w:t xml:space="preserve">Visitor pricing uses the held rate and refuses speculative repricing.</w:t>
      </w:r>
      <w:r>
        <w:t xml:space="preserve"> </w:t>
      </w:r>
      <w:r>
        <w:t xml:space="preserve">-</w:t>
      </w:r>
      <w:r>
        <w:t xml:space="preserve"> </w:t>
      </w:r>
      <w:r>
        <w:rPr>
          <w:b/>
          <w:bCs/>
        </w:rPr>
        <w:t xml:space="preserve">Scope:</w:t>
      </w:r>
      <w:r>
        <w:t xml:space="preserve"> </w:t>
      </w:r>
      <w:r>
        <w:t xml:space="preserve">Recorded component environment</w:t>
      </w:r>
      <w:r>
        <w:t xml:space="preserve"> </w:t>
      </w:r>
      <w:r>
        <w:t xml:space="preserve">-</w:t>
      </w:r>
      <w:r>
        <w:t xml:space="preserve"> </w:t>
      </w:r>
      <w:r>
        <w:rPr>
          <w:b/>
          <w:bCs/>
        </w:rPr>
        <w:t xml:space="preserve">Source refs:</w:t>
      </w:r>
      <w:r>
        <w:t xml:space="preserve"> </w:t>
      </w:r>
      <w:r>
        <w:t xml:space="preserve">VisitorPricing2026;ForkedCampaign2026</w:t>
      </w:r>
      <w:r>
        <w:t xml:space="preserve"> </w:t>
      </w:r>
      <w:r>
        <w:t xml:space="preserve">-</w:t>
      </w:r>
      <w:r>
        <w:t xml:space="preserve"> </w:t>
      </w:r>
      <w:r>
        <w:rPr>
          <w:b/>
          <w:bCs/>
        </w:rPr>
        <w:t xml:space="preserve">Reopen condition:</w:t>
      </w:r>
      <w:r>
        <w:t xml:space="preserve"> </w:t>
      </w:r>
      <w:r>
        <w:t xml:space="preserve">Speculative multiplier is admitted.</w:t>
      </w:r>
    </w:p>
    <w:bookmarkEnd w:id="450"/>
    <w:bookmarkStart w:id="451" w:name="l.35-c035---component_or_synthetic"/>
    <w:p>
      <w:pPr>
        <w:pStyle w:val="Heading2"/>
      </w:pPr>
      <w:r>
        <w:t xml:space="preserve">L.35 C035 - COMPONENT_OR_SYNTHETIC</w:t>
      </w:r>
    </w:p>
    <w:p>
      <w:pPr>
        <w:pStyle w:val="FirstParagraph"/>
      </w:pPr>
      <w:r>
        <w:t xml:space="preserve">Older shape-conforming memory outranked recent shape-distant memory in 500/500 native synthetic trials.</w:t>
      </w:r>
      <w:r>
        <w:t xml:space="preserve"> </w:t>
      </w:r>
      <w:r>
        <w:t xml:space="preserve">-</w:t>
      </w:r>
      <w:r>
        <w:t xml:space="preserve"> </w:t>
      </w:r>
      <w:r>
        <w:rPr>
          <w:b/>
          <w:bCs/>
        </w:rPr>
        <w:t xml:space="preserve">Scope:</w:t>
      </w:r>
      <w:r>
        <w:t xml:space="preserve"> </w:t>
      </w:r>
      <w:r>
        <w:t xml:space="preserve">Native synthetic campaign</w:t>
      </w:r>
      <w:r>
        <w:t xml:space="preserve"> </w:t>
      </w:r>
      <w:r>
        <w:t xml:space="preserve">-</w:t>
      </w:r>
      <w:r>
        <w:t xml:space="preserve"> </w:t>
      </w:r>
      <w:r>
        <w:rPr>
          <w:b/>
          <w:bCs/>
        </w:rPr>
        <w:t xml:space="preserve">Source refs:</w:t>
      </w:r>
      <w:r>
        <w:t xml:space="preserve"> </w:t>
      </w:r>
      <w:r>
        <w:t xml:space="preserve">ForkedCampaign2026</w:t>
      </w:r>
      <w:r>
        <w:t xml:space="preserve"> </w:t>
      </w:r>
      <w:r>
        <w:t xml:space="preserve">-</w:t>
      </w:r>
      <w:r>
        <w:t xml:space="preserve"> </w:t>
      </w:r>
      <w:r>
        <w:rPr>
          <w:b/>
          <w:bCs/>
        </w:rPr>
        <w:t xml:space="preserve">Reopen condition:</w:t>
      </w:r>
      <w:r>
        <w:t xml:space="preserve"> </w:t>
      </w:r>
      <w:r>
        <w:t xml:space="preserve">Held-out terrain families do not reproduce.</w:t>
      </w:r>
    </w:p>
    <w:bookmarkEnd w:id="451"/>
    <w:bookmarkStart w:id="452" w:name="l.36-c036---component_or_synthetic"/>
    <w:p>
      <w:pPr>
        <w:pStyle w:val="Heading2"/>
      </w:pPr>
      <w:r>
        <w:t xml:space="preserve">L.36 C036 - COMPONENT_OR_SYNTHETIC</w:t>
      </w:r>
    </w:p>
    <w:p>
      <w:pPr>
        <w:pStyle w:val="FirstParagraph"/>
      </w:pPr>
      <w:r>
        <w:t xml:space="preserve">The threshold campaign produced zero unauthorized declarations, zero nominal-agency declarations, and zero indefinite holds after expiry across 1,200 trials.</w:t>
      </w:r>
      <w:r>
        <w:t xml:space="preserve"> </w:t>
      </w:r>
      <w:r>
        <w:t xml:space="preserve">-</w:t>
      </w:r>
      <w:r>
        <w:t xml:space="preserve"> </w:t>
      </w:r>
      <w:r>
        <w:rPr>
          <w:b/>
          <w:bCs/>
        </w:rPr>
        <w:t xml:space="preserve">Scope:</w:t>
      </w:r>
      <w:r>
        <w:t xml:space="preserve"> </w:t>
      </w:r>
      <w:r>
        <w:t xml:space="preserve">Native synthetic campaign</w:t>
      </w:r>
      <w:r>
        <w:t xml:space="preserve"> </w:t>
      </w:r>
      <w:r>
        <w:t xml:space="preserve">-</w:t>
      </w:r>
      <w:r>
        <w:t xml:space="preserve"> </w:t>
      </w:r>
      <w:r>
        <w:rPr>
          <w:b/>
          <w:bCs/>
        </w:rPr>
        <w:t xml:space="preserve">Source refs:</w:t>
      </w:r>
      <w:r>
        <w:t xml:space="preserve"> </w:t>
      </w:r>
      <w:r>
        <w:t xml:space="preserve">ForkedCampaign2026</w:t>
      </w:r>
      <w:r>
        <w:t xml:space="preserve"> </w:t>
      </w:r>
      <w:r>
        <w:t xml:space="preserve">-</w:t>
      </w:r>
      <w:r>
        <w:t xml:space="preserve"> </w:t>
      </w:r>
      <w:r>
        <w:rPr>
          <w:b/>
          <w:bCs/>
        </w:rPr>
        <w:t xml:space="preserve">Reopen condition:</w:t>
      </w:r>
      <w:r>
        <w:t xml:space="preserve"> </w:t>
      </w:r>
      <w:r>
        <w:t xml:space="preserve">A rerun produces a violation.</w:t>
      </w:r>
    </w:p>
    <w:bookmarkEnd w:id="452"/>
    <w:bookmarkStart w:id="453" w:name="l.37-c037---component_or_synthetic"/>
    <w:p>
      <w:pPr>
        <w:pStyle w:val="Heading2"/>
      </w:pPr>
      <w:r>
        <w:t xml:space="preserve">L.37 C037 - COMPONENT_OR_SYNTHETIC</w:t>
      </w:r>
    </w:p>
    <w:p>
      <w:pPr>
        <w:pStyle w:val="FirstParagraph"/>
      </w:pPr>
      <w:r>
        <w:t xml:space="preserve">Hidden dependency detection and repair stabilization were 1.0 across 250 generated graph trials.</w:t>
      </w:r>
      <w:r>
        <w:t xml:space="preserve"> </w:t>
      </w:r>
      <w:r>
        <w:t xml:space="preserve">-</w:t>
      </w:r>
      <w:r>
        <w:t xml:space="preserve"> </w:t>
      </w:r>
      <w:r>
        <w:rPr>
          <w:b/>
          <w:bCs/>
        </w:rPr>
        <w:t xml:space="preserve">Scope:</w:t>
      </w:r>
      <w:r>
        <w:t xml:space="preserve"> </w:t>
      </w:r>
      <w:r>
        <w:t xml:space="preserve">Native synthetic campaign</w:t>
      </w:r>
      <w:r>
        <w:t xml:space="preserve"> </w:t>
      </w:r>
      <w:r>
        <w:t xml:space="preserve">-</w:t>
      </w:r>
      <w:r>
        <w:t xml:space="preserve"> </w:t>
      </w:r>
      <w:r>
        <w:rPr>
          <w:b/>
          <w:bCs/>
        </w:rPr>
        <w:t xml:space="preserve">Source refs:</w:t>
      </w:r>
      <w:r>
        <w:t xml:space="preserve"> </w:t>
      </w:r>
      <w:r>
        <w:t xml:space="preserve">ForkedCampaign2026</w:t>
      </w:r>
      <w:r>
        <w:t xml:space="preserve"> </w:t>
      </w:r>
      <w:r>
        <w:t xml:space="preserve">-</w:t>
      </w:r>
      <w:r>
        <w:t xml:space="preserve"> </w:t>
      </w:r>
      <w:r>
        <w:rPr>
          <w:b/>
          <w:bCs/>
        </w:rPr>
        <w:t xml:space="preserve">Reopen condition:</w:t>
      </w:r>
      <w:r>
        <w:t xml:space="preserve"> </w:t>
      </w:r>
      <w:r>
        <w:t xml:space="preserve">Adversarial graph families reduce performance.</w:t>
      </w:r>
    </w:p>
    <w:bookmarkEnd w:id="453"/>
    <w:bookmarkStart w:id="454" w:name="l.38-c038---component_or_synthetic"/>
    <w:p>
      <w:pPr>
        <w:pStyle w:val="Heading2"/>
      </w:pPr>
      <w:r>
        <w:t xml:space="preserve">L.38 C038 - COMPONENT_OR_SYNTHETIC</w:t>
      </w:r>
    </w:p>
    <w:p>
      <w:pPr>
        <w:pStyle w:val="FirstParagraph"/>
      </w:pPr>
      <w:r>
        <w:t xml:space="preserve">The fable campaign remained a soft mixture with mean maximum weight approximately 0.601 across 1,000 random queries.</w:t>
      </w:r>
      <w:r>
        <w:t xml:space="preserve"> </w:t>
      </w:r>
      <w:r>
        <w:t xml:space="preserve">-</w:t>
      </w:r>
      <w:r>
        <w:t xml:space="preserve"> </w:t>
      </w:r>
      <w:r>
        <w:rPr>
          <w:b/>
          <w:bCs/>
        </w:rPr>
        <w:t xml:space="preserve">Scope:</w:t>
      </w:r>
      <w:r>
        <w:t xml:space="preserve"> </w:t>
      </w:r>
      <w:r>
        <w:t xml:space="preserve">Native synthetic campaign</w:t>
      </w:r>
      <w:r>
        <w:t xml:space="preserve"> </w:t>
      </w:r>
      <w:r>
        <w:t xml:space="preserve">-</w:t>
      </w:r>
      <w:r>
        <w:t xml:space="preserve"> </w:t>
      </w:r>
      <w:r>
        <w:rPr>
          <w:b/>
          <w:bCs/>
        </w:rPr>
        <w:t xml:space="preserve">Source refs:</w:t>
      </w:r>
      <w:r>
        <w:t xml:space="preserve"> </w:t>
      </w:r>
      <w:r>
        <w:t xml:space="preserve">ForkedCampaign2026</w:t>
      </w:r>
      <w:r>
        <w:t xml:space="preserve"> </w:t>
      </w:r>
      <w:r>
        <w:t xml:space="preserve">-</w:t>
      </w:r>
      <w:r>
        <w:t xml:space="preserve"> </w:t>
      </w:r>
      <w:r>
        <w:rPr>
          <w:b/>
          <w:bCs/>
        </w:rPr>
        <w:t xml:space="preserve">Reopen condition:</w:t>
      </w:r>
      <w:r>
        <w:t xml:space="preserve"> </w:t>
      </w:r>
      <w:r>
        <w:t xml:space="preserve">Reproduction degenerates to one-hot behavior.</w:t>
      </w:r>
    </w:p>
    <w:bookmarkEnd w:id="454"/>
    <w:bookmarkStart w:id="455" w:name="l.39-c039---component_or_synthetic"/>
    <w:p>
      <w:pPr>
        <w:pStyle w:val="Heading2"/>
      </w:pPr>
      <w:r>
        <w:t xml:space="preserve">L.39 C039 - COMPONENT_OR_SYNTHETIC</w:t>
      </w:r>
    </w:p>
    <w:p>
      <w:pPr>
        <w:pStyle w:val="FirstParagraph"/>
      </w:pPr>
      <w:r>
        <w:t xml:space="preserve">Thirty-two biome cohorts completed with zero encoded invariant-failure cohorts and mean 21.375 graduations.</w:t>
      </w:r>
      <w:r>
        <w:t xml:space="preserve"> </w:t>
      </w:r>
      <w:r>
        <w:t xml:space="preserve">-</w:t>
      </w:r>
      <w:r>
        <w:t xml:space="preserve"> </w:t>
      </w:r>
      <w:r>
        <w:rPr>
          <w:b/>
          <w:bCs/>
        </w:rPr>
        <w:t xml:space="preserve">Scope:</w:t>
      </w:r>
      <w:r>
        <w:t xml:space="preserve"> </w:t>
      </w:r>
      <w:r>
        <w:t xml:space="preserve">Native synthetic campaign</w:t>
      </w:r>
      <w:r>
        <w:t xml:space="preserve"> </w:t>
      </w:r>
      <w:r>
        <w:t xml:space="preserve">-</w:t>
      </w:r>
      <w:r>
        <w:t xml:space="preserve"> </w:t>
      </w:r>
      <w:r>
        <w:rPr>
          <w:b/>
          <w:bCs/>
        </w:rPr>
        <w:t xml:space="preserve">Source refs:</w:t>
      </w:r>
      <w:r>
        <w:t xml:space="preserve"> </w:t>
      </w:r>
      <w:r>
        <w:t xml:space="preserve">ForkedCampaign2026</w:t>
      </w:r>
      <w:r>
        <w:t xml:space="preserve"> </w:t>
      </w:r>
      <w:r>
        <w:t xml:space="preserve">-</w:t>
      </w:r>
      <w:r>
        <w:t xml:space="preserve"> </w:t>
      </w:r>
      <w:r>
        <w:rPr>
          <w:b/>
          <w:bCs/>
        </w:rPr>
        <w:t xml:space="preserve">Reopen condition:</w:t>
      </w:r>
      <w:r>
        <w:t xml:space="preserve"> </w:t>
      </w:r>
      <w:r>
        <w:t xml:space="preserve">New seeds or calibrated parameters fail.</w:t>
      </w:r>
    </w:p>
    <w:bookmarkEnd w:id="455"/>
    <w:bookmarkStart w:id="456" w:name="l.40-c040---component_or_synthetic"/>
    <w:p>
      <w:pPr>
        <w:pStyle w:val="Heading2"/>
      </w:pPr>
      <w:r>
        <w:t xml:space="preserve">L.40 C040 - COMPONENT_OR_SYNTHETIC</w:t>
      </w:r>
    </w:p>
    <w:p>
      <w:pPr>
        <w:pStyle w:val="FirstParagraph"/>
      </w:pPr>
      <w:r>
        <w:t xml:space="preserve">In 64 HUNGER runs, encoded substrate efficiency exceeded symbolic efficiency in every run under the declared normalization.</w:t>
      </w:r>
      <w:r>
        <w:t xml:space="preserve"> </w:t>
      </w:r>
      <w:r>
        <w:t xml:space="preserve">-</w:t>
      </w:r>
      <w:r>
        <w:t xml:space="preserve"> </w:t>
      </w:r>
      <w:r>
        <w:rPr>
          <w:b/>
          <w:bCs/>
        </w:rPr>
        <w:t xml:space="preserve">Scope:</w:t>
      </w:r>
      <w:r>
        <w:t xml:space="preserve"> </w:t>
      </w:r>
      <w:r>
        <w:t xml:space="preserve">Native synthetic campaign</w:t>
      </w:r>
      <w:r>
        <w:t xml:space="preserve"> </w:t>
      </w:r>
      <w:r>
        <w:t xml:space="preserve">-</w:t>
      </w:r>
      <w:r>
        <w:t xml:space="preserve"> </w:t>
      </w:r>
      <w:r>
        <w:rPr>
          <w:b/>
          <w:bCs/>
        </w:rPr>
        <w:t xml:space="preserve">Source refs:</w:t>
      </w:r>
      <w:r>
        <w:t xml:space="preserve"> </w:t>
      </w:r>
      <w:r>
        <w:t xml:space="preserve">ForkedCampaign2026</w:t>
      </w:r>
      <w:r>
        <w:t xml:space="preserve"> </w:t>
      </w:r>
      <w:r>
        <w:t xml:space="preserve">-</w:t>
      </w:r>
      <w:r>
        <w:t xml:space="preserve"> </w:t>
      </w:r>
      <w:r>
        <w:rPr>
          <w:b/>
          <w:bCs/>
        </w:rPr>
        <w:t xml:space="preserve">Reopen condition:</w:t>
      </w:r>
      <w:r>
        <w:t xml:space="preserve"> </w:t>
      </w:r>
      <w:r>
        <w:t xml:space="preserve">Matched accounting reverses the relation.</w:t>
      </w:r>
    </w:p>
    <w:bookmarkEnd w:id="456"/>
    <w:bookmarkStart w:id="457" w:name="l.41-c041---component_or_synthetic"/>
    <w:p>
      <w:pPr>
        <w:pStyle w:val="Heading2"/>
      </w:pPr>
      <w:r>
        <w:t xml:space="preserve">L.41 C041 - COMPONENT_OR_SYNTHETIC</w:t>
      </w:r>
    </w:p>
    <w:p>
      <w:pPr>
        <w:pStyle w:val="FirstParagraph"/>
      </w:pPr>
      <w:r>
        <w:t xml:space="preserve">Branch-preserving interfaces reduced encoded premature closure and increased inspection while adding decision time.</w:t>
      </w:r>
      <w:r>
        <w:t xml:space="preserve"> </w:t>
      </w:r>
      <w:r>
        <w:t xml:space="preserve">-</w:t>
      </w:r>
      <w:r>
        <w:t xml:space="preserve"> </w:t>
      </w:r>
      <w:r>
        <w:rPr>
          <w:b/>
          <w:bCs/>
        </w:rPr>
        <w:t xml:space="preserve">Scope:</w:t>
      </w:r>
      <w:r>
        <w:t xml:space="preserve"> </w:t>
      </w:r>
      <w:r>
        <w:t xml:space="preserve">Experimental synthetic pilot</w:t>
      </w:r>
      <w:r>
        <w:t xml:space="preserve"> </w:t>
      </w:r>
      <w:r>
        <w:t xml:space="preserve">-</w:t>
      </w:r>
      <w:r>
        <w:t xml:space="preserve"> </w:t>
      </w:r>
      <w:r>
        <w:rPr>
          <w:b/>
          <w:bCs/>
        </w:rPr>
        <w:t xml:space="preserve">Source refs:</w:t>
      </w:r>
      <w:r>
        <w:t xml:space="preserve"> </w:t>
      </w:r>
      <w:r>
        <w:t xml:space="preserve">ForkedExperiments2026</w:t>
      </w:r>
      <w:r>
        <w:t xml:space="preserve"> </w:t>
      </w:r>
      <w:r>
        <w:t xml:space="preserve">-</w:t>
      </w:r>
      <w:r>
        <w:t xml:space="preserve"> </w:t>
      </w:r>
      <w:r>
        <w:rPr>
          <w:b/>
          <w:bCs/>
        </w:rPr>
        <w:t xml:space="preserve">Reopen condition:</w:t>
      </w:r>
      <w:r>
        <w:t xml:space="preserve"> </w:t>
      </w:r>
      <w:r>
        <w:t xml:space="preserve">Human/external studies do not reproduce.</w:t>
      </w:r>
    </w:p>
    <w:bookmarkEnd w:id="457"/>
    <w:bookmarkStart w:id="458" w:name="l.42-c042---component_or_synthetic"/>
    <w:p>
      <w:pPr>
        <w:pStyle w:val="Heading2"/>
      </w:pPr>
      <w:r>
        <w:t xml:space="preserve">L.42 C042 - COMPONENT_OR_SYNTHETIC</w:t>
      </w:r>
    </w:p>
    <w:p>
      <w:pPr>
        <w:pStyle w:val="FirstParagraph"/>
      </w:pPr>
      <w:r>
        <w:t xml:space="preserve">Misleading narrative frames increased encoded overcaution.</w:t>
      </w:r>
      <w:r>
        <w:t xml:space="preserve"> </w:t>
      </w:r>
      <w:r>
        <w:t xml:space="preserve">-</w:t>
      </w:r>
      <w:r>
        <w:t xml:space="preserve"> </w:t>
      </w:r>
      <w:r>
        <w:rPr>
          <w:b/>
          <w:bCs/>
        </w:rPr>
        <w:t xml:space="preserve">Scope:</w:t>
      </w:r>
      <w:r>
        <w:t xml:space="preserve"> </w:t>
      </w:r>
      <w:r>
        <w:t xml:space="preserve">Experimental synthetic pilot</w:t>
      </w:r>
      <w:r>
        <w:t xml:space="preserve"> </w:t>
      </w:r>
      <w:r>
        <w:t xml:space="preserve">-</w:t>
      </w:r>
      <w:r>
        <w:t xml:space="preserve"> </w:t>
      </w:r>
      <w:r>
        <w:rPr>
          <w:b/>
          <w:bCs/>
        </w:rPr>
        <w:t xml:space="preserve">Source refs:</w:t>
      </w:r>
      <w:r>
        <w:t xml:space="preserve"> </w:t>
      </w:r>
      <w:r>
        <w:t xml:space="preserve">ForkedExperiments2026</w:t>
      </w:r>
      <w:r>
        <w:t xml:space="preserve"> </w:t>
      </w:r>
      <w:r>
        <w:t xml:space="preserve">-</w:t>
      </w:r>
      <w:r>
        <w:t xml:space="preserve"> </w:t>
      </w:r>
      <w:r>
        <w:rPr>
          <w:b/>
          <w:bCs/>
        </w:rPr>
        <w:t xml:space="preserve">Reopen condition:</w:t>
      </w:r>
      <w:r>
        <w:t xml:space="preserve"> </w:t>
      </w:r>
      <w:r>
        <w:t xml:space="preserve">Matched human studies show no adverse lane.</w:t>
      </w:r>
    </w:p>
    <w:bookmarkEnd w:id="458"/>
    <w:bookmarkStart w:id="459" w:name="l.43-c043---component_or_synthetic"/>
    <w:p>
      <w:pPr>
        <w:pStyle w:val="Heading2"/>
      </w:pPr>
      <w:r>
        <w:t xml:space="preserve">L.43 C043 - COMPONENT_OR_SYNTHETIC</w:t>
      </w:r>
    </w:p>
    <w:p>
      <w:pPr>
        <w:pStyle w:val="FirstParagraph"/>
      </w:pPr>
      <w:r>
        <w:t xml:space="preserve">Dependency-aware correction improved encoded completeness and residue, while hidden dependencies remained the false-stability boundary.</w:t>
      </w:r>
      <w:r>
        <w:t xml:space="preserve"> </w:t>
      </w:r>
      <w:r>
        <w:t xml:space="preserve">-</w:t>
      </w:r>
      <w:r>
        <w:t xml:space="preserve"> </w:t>
      </w:r>
      <w:r>
        <w:rPr>
          <w:b/>
          <w:bCs/>
        </w:rPr>
        <w:t xml:space="preserve">Scope:</w:t>
      </w:r>
      <w:r>
        <w:t xml:space="preserve"> </w:t>
      </w:r>
      <w:r>
        <w:t xml:space="preserve">Experimental synthetic pilot</w:t>
      </w:r>
      <w:r>
        <w:t xml:space="preserve"> </w:t>
      </w:r>
      <w:r>
        <w:t xml:space="preserve">-</w:t>
      </w:r>
      <w:r>
        <w:t xml:space="preserve"> </w:t>
      </w:r>
      <w:r>
        <w:rPr>
          <w:b/>
          <w:bCs/>
        </w:rPr>
        <w:t xml:space="preserve">Source refs:</w:t>
      </w:r>
      <w:r>
        <w:t xml:space="preserve"> </w:t>
      </w:r>
      <w:r>
        <w:t xml:space="preserve">ForkedExperiments2026</w:t>
      </w:r>
      <w:r>
        <w:t xml:space="preserve"> </w:t>
      </w:r>
      <w:r>
        <w:t xml:space="preserve">-</w:t>
      </w:r>
      <w:r>
        <w:t xml:space="preserve"> </w:t>
      </w:r>
      <w:r>
        <w:rPr>
          <w:b/>
          <w:bCs/>
        </w:rPr>
        <w:t xml:space="preserve">Reopen condition:</w:t>
      </w:r>
      <w:r>
        <w:t xml:space="preserve"> </w:t>
      </w:r>
      <w:r>
        <w:t xml:space="preserve">External graphs show no benefit.</w:t>
      </w:r>
    </w:p>
    <w:bookmarkEnd w:id="459"/>
    <w:bookmarkStart w:id="460" w:name="l.44-c044---component_or_synthetic"/>
    <w:p>
      <w:pPr>
        <w:pStyle w:val="Heading2"/>
      </w:pPr>
      <w:r>
        <w:t xml:space="preserve">L.44 C044 - COMPONENT_OR_SYNTHETIC</w:t>
      </w:r>
    </w:p>
    <w:p>
      <w:pPr>
        <w:pStyle w:val="FirstParagraph"/>
      </w:pPr>
      <w:r>
        <w:t xml:space="preserve">Separated deterministic authority reduced encoded unauthorized transitions and contamination while adding availability and complexity cost.</w:t>
      </w:r>
      <w:r>
        <w:t xml:space="preserve"> </w:t>
      </w:r>
      <w:r>
        <w:t xml:space="preserve">-</w:t>
      </w:r>
      <w:r>
        <w:t xml:space="preserve"> </w:t>
      </w:r>
      <w:r>
        <w:rPr>
          <w:b/>
          <w:bCs/>
        </w:rPr>
        <w:t xml:space="preserve">Scope:</w:t>
      </w:r>
      <w:r>
        <w:t xml:space="preserve"> </w:t>
      </w:r>
      <w:r>
        <w:t xml:space="preserve">Software Monte Carlo</w:t>
      </w:r>
      <w:r>
        <w:t xml:space="preserve"> </w:t>
      </w:r>
      <w:r>
        <w:t xml:space="preserve">-</w:t>
      </w:r>
      <w:r>
        <w:t xml:space="preserve"> </w:t>
      </w:r>
      <w:r>
        <w:rPr>
          <w:b/>
          <w:bCs/>
        </w:rPr>
        <w:t xml:space="preserve">Source refs:</w:t>
      </w:r>
      <w:r>
        <w:t xml:space="preserve"> </w:t>
      </w:r>
      <w:r>
        <w:t xml:space="preserve">ForkedExperiments2026</w:t>
      </w:r>
      <w:r>
        <w:t xml:space="preserve"> </w:t>
      </w:r>
      <w:r>
        <w:t xml:space="preserve">-</w:t>
      </w:r>
      <w:r>
        <w:t xml:space="preserve"> </w:t>
      </w:r>
      <w:r>
        <w:rPr>
          <w:b/>
          <w:bCs/>
        </w:rPr>
        <w:t xml:space="preserve">Reopen condition:</w:t>
      </w:r>
      <w:r>
        <w:t xml:space="preserve"> </w:t>
      </w:r>
      <w:r>
        <w:t xml:space="preserve">Unified architecture meets the same containment envelope.</w:t>
      </w:r>
    </w:p>
    <w:bookmarkEnd w:id="460"/>
    <w:bookmarkStart w:id="461" w:name="l.45-c045---research_open_or_boundary"/>
    <w:p>
      <w:pPr>
        <w:pStyle w:val="Heading2"/>
      </w:pPr>
      <w:r>
        <w:t xml:space="preserve">L.45 C045 - RESEARCH_OPEN_OR_BOUNDARY</w:t>
      </w:r>
    </w:p>
    <w:p>
      <w:pPr>
        <w:pStyle w:val="FirstParagraph"/>
      </w:pPr>
      <w:r>
        <w:t xml:space="preserve">Shape-first fable terrain improves judgment beyond matched plain-language constraints.</w:t>
      </w:r>
      <w:r>
        <w:t xml:space="preserve"> </w:t>
      </w:r>
      <w:r>
        <w:t xml:space="preserve">-</w:t>
      </w:r>
      <w:r>
        <w:t xml:space="preserve"> </w:t>
      </w:r>
      <w:r>
        <w:rPr>
          <w:b/>
          <w:bCs/>
        </w:rPr>
        <w:t xml:space="preserve">Scope:</w:t>
      </w:r>
      <w:r>
        <w:t xml:space="preserve"> </w:t>
      </w:r>
      <w:r>
        <w:t xml:space="preserve">Human/model empirical generalization</w:t>
      </w:r>
      <w:r>
        <w:t xml:space="preserve"> </w:t>
      </w:r>
      <w:r>
        <w:t xml:space="preserve">-</w:t>
      </w:r>
      <w:r>
        <w:t xml:space="preserve"> </w:t>
      </w:r>
      <w:r>
        <w:rPr>
          <w:b/>
          <w:bCs/>
        </w:rPr>
        <w:t xml:space="preserve">Source refs:</w:t>
      </w:r>
      <w:r>
        <w:t xml:space="preserve"> </w:t>
      </w:r>
      <w:r>
        <w:t xml:space="preserve">AesopField2026;Bucinca2021Forcing</w:t>
      </w:r>
      <w:r>
        <w:t xml:space="preserve"> </w:t>
      </w:r>
      <w:r>
        <w:t xml:space="preserve">-</w:t>
      </w:r>
      <w:r>
        <w:t xml:space="preserve"> </w:t>
      </w:r>
      <w:r>
        <w:rPr>
          <w:b/>
          <w:bCs/>
        </w:rPr>
        <w:t xml:space="preserve">Reopen condition:</w:t>
      </w:r>
      <w:r>
        <w:t xml:space="preserve"> </w:t>
      </w:r>
      <w:r>
        <w:t xml:space="preserve">Preregistered studies show no benefit.</w:t>
      </w:r>
    </w:p>
    <w:bookmarkEnd w:id="461"/>
    <w:bookmarkStart w:id="462" w:name="l.46-c046---research_open_or_boundary"/>
    <w:p>
      <w:pPr>
        <w:pStyle w:val="Heading2"/>
      </w:pPr>
      <w:r>
        <w:t xml:space="preserve">L.46 C046 - RESEARCH_OPEN_OR_BOUNDARY</w:t>
      </w:r>
    </w:p>
    <w:p>
      <w:pPr>
        <w:pStyle w:val="FirstParagraph"/>
      </w:pPr>
      <w:r>
        <w:t xml:space="preserve">Correction-path survival predicts resilient human-AI performance better than first-pass confidence alone.</w:t>
      </w:r>
      <w:r>
        <w:t xml:space="preserve"> </w:t>
      </w:r>
      <w:r>
        <w:t xml:space="preserve">-</w:t>
      </w:r>
      <w:r>
        <w:t xml:space="preserve"> </w:t>
      </w:r>
      <w:r>
        <w:rPr>
          <w:b/>
          <w:bCs/>
        </w:rPr>
        <w:t xml:space="preserve">Scope:</w:t>
      </w:r>
      <w:r>
        <w:t xml:space="preserve"> </w:t>
      </w:r>
      <w:r>
        <w:t xml:space="preserve">Longitudinal human-AI teams</w:t>
      </w:r>
      <w:r>
        <w:t xml:space="preserve"> </w:t>
      </w:r>
      <w:r>
        <w:t xml:space="preserve">-</w:t>
      </w:r>
      <w:r>
        <w:t xml:space="preserve"> </w:t>
      </w:r>
      <w:r>
        <w:rPr>
          <w:b/>
          <w:bCs/>
        </w:rPr>
        <w:t xml:space="preserve">Source refs:</w:t>
      </w:r>
      <w:r>
        <w:t xml:space="preserve"> </w:t>
      </w:r>
      <w:r>
        <w:t xml:space="preserve">Taylor2026OpenCenter;Schemmer2022Reliance</w:t>
      </w:r>
      <w:r>
        <w:t xml:space="preserve"> </w:t>
      </w:r>
      <w:r>
        <w:t xml:space="preserve">-</w:t>
      </w:r>
      <w:r>
        <w:t xml:space="preserve"> </w:t>
      </w:r>
      <w:r>
        <w:rPr>
          <w:b/>
          <w:bCs/>
        </w:rPr>
        <w:t xml:space="preserve">Reopen condition:</w:t>
      </w:r>
      <w:r>
        <w:t xml:space="preserve"> </w:t>
      </w:r>
      <w:r>
        <w:t xml:space="preserve">Confidence alone explains equal or greater variance.</w:t>
      </w:r>
    </w:p>
    <w:bookmarkEnd w:id="462"/>
    <w:bookmarkStart w:id="463" w:name="l.47-c047---research_open_or_boundary"/>
    <w:p>
      <w:pPr>
        <w:pStyle w:val="Heading2"/>
      </w:pPr>
      <w:r>
        <w:t xml:space="preserve">L.47 C047 - RESEARCH_OPEN_OR_BOUNDARY</w:t>
      </w:r>
    </w:p>
    <w:p>
      <w:pPr>
        <w:pStyle w:val="FirstParagraph"/>
      </w:pPr>
      <w:r>
        <w:t xml:space="preserve">Observer-indexed carriers reliably communicate different compatible states to human and machine observers in physical environments.</w:t>
      </w:r>
      <w:r>
        <w:t xml:space="preserve"> </w:t>
      </w:r>
      <w:r>
        <w:t xml:space="preserve">-</w:t>
      </w:r>
      <w:r>
        <w:t xml:space="preserve"> </w:t>
      </w:r>
      <w:r>
        <w:rPr>
          <w:b/>
          <w:bCs/>
        </w:rPr>
        <w:t xml:space="preserve">Scope:</w:t>
      </w:r>
      <w:r>
        <w:t xml:space="preserve"> </w:t>
      </w:r>
      <w:r>
        <w:t xml:space="preserve">Physical carrier envelope</w:t>
      </w:r>
      <w:r>
        <w:t xml:space="preserve"> </w:t>
      </w:r>
      <w:r>
        <w:t xml:space="preserve">-</w:t>
      </w:r>
      <w:r>
        <w:t xml:space="preserve"> </w:t>
      </w:r>
      <w:r>
        <w:rPr>
          <w:b/>
          <w:bCs/>
        </w:rPr>
        <w:t xml:space="preserve">Source refs:</w:t>
      </w:r>
      <w:r>
        <w:t xml:space="preserve"> </w:t>
      </w:r>
      <w:r>
        <w:t xml:space="preserve">Oliva2006Hybrid;Mixfont2026Decoy</w:t>
      </w:r>
      <w:r>
        <w:t xml:space="preserve"> </w:t>
      </w:r>
      <w:r>
        <w:t xml:space="preserve">-</w:t>
      </w:r>
      <w:r>
        <w:t xml:space="preserve"> </w:t>
      </w:r>
      <w:r>
        <w:rPr>
          <w:b/>
          <w:bCs/>
        </w:rPr>
        <w:t xml:space="preserve">Reopen condition:</w:t>
      </w:r>
      <w:r>
        <w:t xml:space="preserve"> </w:t>
      </w:r>
      <w:r>
        <w:t xml:space="preserve">No practical stable envelope exists.</w:t>
      </w:r>
    </w:p>
    <w:bookmarkEnd w:id="463"/>
    <w:bookmarkStart w:id="464" w:name="l.48-c048---research_open_or_boundary"/>
    <w:p>
      <w:pPr>
        <w:pStyle w:val="Heading2"/>
      </w:pPr>
      <w:r>
        <w:t xml:space="preserve">L.48 C048 - RESEARCH_OPEN_OR_BOUNDARY</w:t>
      </w:r>
    </w:p>
    <w:p>
      <w:pPr>
        <w:pStyle w:val="FirstParagraph"/>
      </w:pPr>
      <w:r>
        <w:t xml:space="preserve">Lane-preserving multimodal conformation improves mission-state integrity at matched workload in real sensor systems.</w:t>
      </w:r>
      <w:r>
        <w:t xml:space="preserve"> </w:t>
      </w:r>
      <w:r>
        <w:t xml:space="preserve">-</w:t>
      </w:r>
      <w:r>
        <w:t xml:space="preserve"> </w:t>
      </w:r>
      <w:r>
        <w:rPr>
          <w:b/>
          <w:bCs/>
        </w:rPr>
        <w:t xml:space="preserve">Scope:</w:t>
      </w:r>
      <w:r>
        <w:t xml:space="preserve"> </w:t>
      </w:r>
      <w:r>
        <w:t xml:space="preserve">Hardware and field systems</w:t>
      </w:r>
      <w:r>
        <w:t xml:space="preserve"> </w:t>
      </w:r>
      <w:r>
        <w:t xml:space="preserve">-</w:t>
      </w:r>
      <w:r>
        <w:t xml:space="preserve"> </w:t>
      </w:r>
      <w:r>
        <w:rPr>
          <w:b/>
          <w:bCs/>
        </w:rPr>
        <w:t xml:space="preserve">Source refs:</w:t>
      </w:r>
      <w:r>
        <w:t xml:space="preserve"> </w:t>
      </w:r>
      <w:r>
        <w:t xml:space="preserve">Wang2025EventSurvey;Lyu2025RadarEvent</w:t>
      </w:r>
      <w:r>
        <w:t xml:space="preserve"> </w:t>
      </w:r>
      <w:r>
        <w:t xml:space="preserve">-</w:t>
      </w:r>
      <w:r>
        <w:t xml:space="preserve"> </w:t>
      </w:r>
      <w:r>
        <w:rPr>
          <w:b/>
          <w:bCs/>
        </w:rPr>
        <w:t xml:space="preserve">Reopen condition:</w:t>
      </w:r>
      <w:r>
        <w:t xml:space="preserve"> </w:t>
      </w:r>
      <w:r>
        <w:t xml:space="preserve">Fused-only systems dominate.</w:t>
      </w:r>
    </w:p>
    <w:bookmarkEnd w:id="464"/>
    <w:bookmarkStart w:id="465" w:name="l.49-c049---research_open_or_boundary"/>
    <w:p>
      <w:pPr>
        <w:pStyle w:val="Heading2"/>
      </w:pPr>
      <w:r>
        <w:t xml:space="preserve">L.49 C049 - RESEARCH_OPEN_OR_BOUNDARY</w:t>
      </w:r>
    </w:p>
    <w:p>
      <w:pPr>
        <w:pStyle w:val="FirstParagraph"/>
      </w:pPr>
      <w:r>
        <w:t xml:space="preserve">Meaningful agency can be measured through inspection, challenge, delay, reversal, alternatives, and liability awareness.</w:t>
      </w:r>
      <w:r>
        <w:t xml:space="preserve"> </w:t>
      </w:r>
      <w:r>
        <w:t xml:space="preserve">-</w:t>
      </w:r>
      <w:r>
        <w:t xml:space="preserve"> </w:t>
      </w:r>
      <w:r>
        <w:rPr>
          <w:b/>
          <w:bCs/>
        </w:rPr>
        <w:t xml:space="preserve">Scope:</w:t>
      </w:r>
      <w:r>
        <w:t xml:space="preserve"> </w:t>
      </w:r>
      <w:r>
        <w:t xml:space="preserve">Human factors</w:t>
      </w:r>
      <w:r>
        <w:t xml:space="preserve"> </w:t>
      </w:r>
      <w:r>
        <w:t xml:space="preserve">-</w:t>
      </w:r>
      <w:r>
        <w:t xml:space="preserve"> </w:t>
      </w:r>
      <w:r>
        <w:rPr>
          <w:b/>
          <w:bCs/>
        </w:rPr>
        <w:t xml:space="preserve">Source refs:</w:t>
      </w:r>
      <w:r>
        <w:t xml:space="preserve"> </w:t>
      </w:r>
      <w:r>
        <w:t xml:space="preserve">Mecacci2020MHC;DeSio2023MHC</w:t>
      </w:r>
      <w:r>
        <w:t xml:space="preserve"> </w:t>
      </w:r>
      <w:r>
        <w:t xml:space="preserve">-</w:t>
      </w:r>
      <w:r>
        <w:t xml:space="preserve"> </w:t>
      </w:r>
      <w:r>
        <w:rPr>
          <w:b/>
          <w:bCs/>
        </w:rPr>
        <w:t xml:space="preserve">Reopen condition:</w:t>
      </w:r>
      <w:r>
        <w:t xml:space="preserve"> </w:t>
      </w:r>
      <w:r>
        <w:t xml:space="preserve">Measures lack reliability or causal validity.</w:t>
      </w:r>
    </w:p>
    <w:bookmarkEnd w:id="465"/>
    <w:bookmarkStart w:id="466" w:name="l.50-c050---research_open_or_boundary"/>
    <w:p>
      <w:pPr>
        <w:pStyle w:val="Heading2"/>
      </w:pPr>
      <w:r>
        <w:t xml:space="preserve">L.50 C050 - RESEARCH_OPEN_OR_BOUNDARY</w:t>
      </w:r>
    </w:p>
    <w:p>
      <w:pPr>
        <w:pStyle w:val="FirstParagraph"/>
      </w:pPr>
      <w:r>
        <w:t xml:space="preserve">Responsibility-scaled mechanical governance outperforms fixed gate stacks across heterogeneous consequence regimes.</w:t>
      </w:r>
      <w:r>
        <w:t xml:space="preserve"> </w:t>
      </w:r>
      <w:r>
        <w:t xml:space="preserve">-</w:t>
      </w:r>
      <w:r>
        <w:t xml:space="preserve"> </w:t>
      </w:r>
      <w:r>
        <w:rPr>
          <w:b/>
          <w:bCs/>
        </w:rPr>
        <w:t xml:space="preserve">Scope:</w:t>
      </w:r>
      <w:r>
        <w:t xml:space="preserve"> </w:t>
      </w:r>
      <w:r>
        <w:t xml:space="preserve">Cross-domain system evaluation</w:t>
      </w:r>
      <w:r>
        <w:t xml:space="preserve"> </w:t>
      </w:r>
      <w:r>
        <w:t xml:space="preserve">-</w:t>
      </w:r>
      <w:r>
        <w:t xml:space="preserve"> </w:t>
      </w:r>
      <w:r>
        <w:rPr>
          <w:b/>
          <w:bCs/>
        </w:rPr>
        <w:t xml:space="preserve">Source refs:</w:t>
      </w:r>
      <w:r>
        <w:t xml:space="preserve"> </w:t>
      </w:r>
      <w:r>
        <w:t xml:space="preserve">Leveson2011Engineering;ForkedExperiments2026</w:t>
      </w:r>
      <w:r>
        <w:t xml:space="preserve"> </w:t>
      </w:r>
      <w:r>
        <w:t xml:space="preserve">-</w:t>
      </w:r>
      <w:r>
        <w:t xml:space="preserve"> </w:t>
      </w:r>
      <w:r>
        <w:rPr>
          <w:b/>
          <w:bCs/>
        </w:rPr>
        <w:t xml:space="preserve">Reopen condition:</w:t>
      </w:r>
      <w:r>
        <w:t xml:space="preserve"> </w:t>
      </w:r>
      <w:r>
        <w:t xml:space="preserve">Simpler baselines dominate.</w:t>
      </w:r>
    </w:p>
    <w:bookmarkEnd w:id="466"/>
    <w:bookmarkStart w:id="467" w:name="l.51-c051---research_open_or_boundary"/>
    <w:p>
      <w:pPr>
        <w:pStyle w:val="Heading2"/>
      </w:pPr>
      <w:r>
        <w:t xml:space="preserve">L.51 C051 - RESEARCH_OPEN_OR_BOUNDARY</w:t>
      </w:r>
    </w:p>
    <w:p>
      <w:pPr>
        <w:pStyle w:val="FirstParagraph"/>
      </w:pPr>
      <w:r>
        <w:t xml:space="preserve">Unknown-edge discovery from correction residue and reaction patterns reduces false stability in real systems.</w:t>
      </w:r>
      <w:r>
        <w:t xml:space="preserve"> </w:t>
      </w:r>
      <w:r>
        <w:t xml:space="preserve">-</w:t>
      </w:r>
      <w:r>
        <w:t xml:space="preserve"> </w:t>
      </w:r>
      <w:r>
        <w:rPr>
          <w:b/>
          <w:bCs/>
        </w:rPr>
        <w:t xml:space="preserve">Scope:</w:t>
      </w:r>
      <w:r>
        <w:t xml:space="preserve"> </w:t>
      </w:r>
      <w:r>
        <w:t xml:space="preserve">Real dependency graphs</w:t>
      </w:r>
      <w:r>
        <w:t xml:space="preserve"> </w:t>
      </w:r>
      <w:r>
        <w:t xml:space="preserve">-</w:t>
      </w:r>
      <w:r>
        <w:t xml:space="preserve"> </w:t>
      </w:r>
      <w:r>
        <w:rPr>
          <w:b/>
          <w:bCs/>
        </w:rPr>
        <w:t xml:space="preserve">Source refs:</w:t>
      </w:r>
      <w:r>
        <w:t xml:space="preserve"> </w:t>
      </w:r>
      <w:r>
        <w:t xml:space="preserve">Pearl2009Causality;CachePoisoning2026</w:t>
      </w:r>
      <w:r>
        <w:t xml:space="preserve"> </w:t>
      </w:r>
      <w:r>
        <w:t xml:space="preserve">-</w:t>
      </w:r>
      <w:r>
        <w:t xml:space="preserve"> </w:t>
      </w:r>
      <w:r>
        <w:rPr>
          <w:b/>
          <w:bCs/>
        </w:rPr>
        <w:t xml:space="preserve">Reopen condition:</w:t>
      </w:r>
      <w:r>
        <w:t xml:space="preserve"> </w:t>
      </w:r>
      <w:r>
        <w:t xml:space="preserve">Inferred edges create more harm than repair.</w:t>
      </w:r>
    </w:p>
    <w:bookmarkEnd w:id="467"/>
    <w:bookmarkStart w:id="468" w:name="l.52-c052---research_open_or_boundary"/>
    <w:p>
      <w:pPr>
        <w:pStyle w:val="Heading2"/>
      </w:pPr>
      <w:r>
        <w:t xml:space="preserve">L.52 C052 - RESEARCH_OPEN_OR_BOUNDARY</w:t>
      </w:r>
    </w:p>
    <w:p>
      <w:pPr>
        <w:pStyle w:val="FirstParagraph"/>
      </w:pPr>
      <w:r>
        <w:t xml:space="preserve">The constitutional biome produces interpretable learning and transfer without directive instruction.</w:t>
      </w:r>
      <w:r>
        <w:t xml:space="preserve"> </w:t>
      </w:r>
      <w:r>
        <w:t xml:space="preserve">-</w:t>
      </w:r>
      <w:r>
        <w:t xml:space="preserve"> </w:t>
      </w:r>
      <w:r>
        <w:rPr>
          <w:b/>
          <w:bCs/>
        </w:rPr>
        <w:t xml:space="preserve">Scope:</w:t>
      </w:r>
      <w:r>
        <w:t xml:space="preserve"> </w:t>
      </w:r>
      <w:r>
        <w:t xml:space="preserve">Human/multi-agent cohorts</w:t>
      </w:r>
      <w:r>
        <w:t xml:space="preserve"> </w:t>
      </w:r>
      <w:r>
        <w:t xml:space="preserve">-</w:t>
      </w:r>
      <w:r>
        <w:t xml:space="preserve"> </w:t>
      </w:r>
      <w:r>
        <w:rPr>
          <w:b/>
          <w:bCs/>
        </w:rPr>
        <w:t xml:space="preserve">Source refs:</w:t>
      </w:r>
      <w:r>
        <w:t xml:space="preserve"> </w:t>
      </w:r>
      <w:r>
        <w:t xml:space="preserve">BiomeSpec2026;PhysarumSpec2026;LichenSpec2026</w:t>
      </w:r>
      <w:r>
        <w:t xml:space="preserve"> </w:t>
      </w:r>
      <w:r>
        <w:t xml:space="preserve">-</w:t>
      </w:r>
      <w:r>
        <w:t xml:space="preserve"> </w:t>
      </w:r>
      <w:r>
        <w:rPr>
          <w:b/>
          <w:bCs/>
        </w:rPr>
        <w:t xml:space="preserve">Reopen condition:</w:t>
      </w:r>
      <w:r>
        <w:t xml:space="preserve"> </w:t>
      </w:r>
      <w:r>
        <w:t xml:space="preserve">Participants do not infer or transfer mechanics.</w:t>
      </w:r>
    </w:p>
    <w:bookmarkEnd w:id="468"/>
    <w:bookmarkStart w:id="469" w:name="l.53-c053---research_open_or_boundary"/>
    <w:p>
      <w:pPr>
        <w:pStyle w:val="Heading2"/>
      </w:pPr>
      <w:r>
        <w:t xml:space="preserve">L.53 C053 - RESEARCH_OPEN_OR_BOUNDARY</w:t>
      </w:r>
    </w:p>
    <w:p>
      <w:pPr>
        <w:pStyle w:val="FirstParagraph"/>
      </w:pPr>
      <w:r>
        <w:t xml:space="preserve">Held-anchor outcome economics improves governance legibility without new capture or stagnation.</w:t>
      </w:r>
      <w:r>
        <w:t xml:space="preserve"> </w:t>
      </w:r>
      <w:r>
        <w:t xml:space="preserve">-</w:t>
      </w:r>
      <w:r>
        <w:t xml:space="preserve"> </w:t>
      </w:r>
      <w:r>
        <w:rPr>
          <w:b/>
          <w:bCs/>
        </w:rPr>
        <w:t xml:space="preserve">Scope:</w:t>
      </w:r>
      <w:r>
        <w:t xml:space="preserve"> </w:t>
      </w:r>
      <w:r>
        <w:t xml:space="preserve">Economic deployment</w:t>
      </w:r>
      <w:r>
        <w:t xml:space="preserve"> </w:t>
      </w:r>
      <w:r>
        <w:t xml:space="preserve">-</w:t>
      </w:r>
      <w:r>
        <w:t xml:space="preserve"> </w:t>
      </w:r>
      <w:r>
        <w:rPr>
          <w:b/>
          <w:bCs/>
        </w:rPr>
        <w:t xml:space="preserve">Source refs:</w:t>
      </w:r>
      <w:r>
        <w:t xml:space="preserve"> </w:t>
      </w:r>
      <w:r>
        <w:t xml:space="preserve">EconomyCadence2026;ShadowEconomy2026</w:t>
      </w:r>
      <w:r>
        <w:t xml:space="preserve"> </w:t>
      </w:r>
      <w:r>
        <w:t xml:space="preserve">-</w:t>
      </w:r>
      <w:r>
        <w:t xml:space="preserve"> </w:t>
      </w:r>
      <w:r>
        <w:rPr>
          <w:b/>
          <w:bCs/>
        </w:rPr>
        <w:t xml:space="preserve">Reopen condition:</w:t>
      </w:r>
      <w:r>
        <w:t xml:space="preserve"> </w:t>
      </w:r>
      <w:r>
        <w:t xml:space="preserve">Deployment reveals instability or gaming.</w:t>
      </w:r>
    </w:p>
    <w:bookmarkEnd w:id="469"/>
    <w:bookmarkStart w:id="470" w:name="l.54-c054---research_open_or_boundary"/>
    <w:p>
      <w:pPr>
        <w:pStyle w:val="Heading2"/>
      </w:pPr>
      <w:r>
        <w:t xml:space="preserve">L.54 C054 - RESEARCH_OPEN_OR_BOUNDARY</w:t>
      </w:r>
    </w:p>
    <w:p>
      <w:pPr>
        <w:pStyle w:val="FirstParagraph"/>
      </w:pPr>
      <w:r>
        <w:t xml:space="preserve">FORKED Range supports recurring assurance and requalification markets.</w:t>
      </w:r>
      <w:r>
        <w:t xml:space="preserve"> </w:t>
      </w:r>
      <w:r>
        <w:t xml:space="preserve">-</w:t>
      </w:r>
      <w:r>
        <w:t xml:space="preserve"> </w:t>
      </w:r>
      <w:r>
        <w:rPr>
          <w:b/>
          <w:bCs/>
        </w:rPr>
        <w:t xml:space="preserve">Scope:</w:t>
      </w:r>
      <w:r>
        <w:t xml:space="preserve"> </w:t>
      </w:r>
      <w:r>
        <w:t xml:space="preserve">Commercial/customer evidence</w:t>
      </w:r>
      <w:r>
        <w:t xml:space="preserve"> </w:t>
      </w:r>
      <w:r>
        <w:t xml:space="preserve">-</w:t>
      </w:r>
      <w:r>
        <w:t xml:space="preserve"> </w:t>
      </w:r>
      <w:r>
        <w:rPr>
          <w:b/>
          <w:bCs/>
        </w:rPr>
        <w:t xml:space="preserve">Source refs:</w:t>
      </w:r>
      <w:r>
        <w:t xml:space="preserve"> </w:t>
      </w:r>
      <w:r>
        <w:t xml:space="preserve">ForkedNative2026;NISTAIRMF2023</w:t>
      </w:r>
      <w:r>
        <w:t xml:space="preserve"> </w:t>
      </w:r>
      <w:r>
        <w:t xml:space="preserve">-</w:t>
      </w:r>
      <w:r>
        <w:t xml:space="preserve"> </w:t>
      </w:r>
      <w:r>
        <w:rPr>
          <w:b/>
          <w:bCs/>
        </w:rPr>
        <w:t xml:space="preserve">Reopen condition:</w:t>
      </w:r>
      <w:r>
        <w:t xml:space="preserve"> </w:t>
      </w:r>
      <w:r>
        <w:t xml:space="preserve">Customers do not value recurring conformance.</w:t>
      </w:r>
    </w:p>
    <w:bookmarkEnd w:id="470"/>
    <w:bookmarkStart w:id="471" w:name="l.55-c055---research_open_or_boundary"/>
    <w:p>
      <w:pPr>
        <w:pStyle w:val="Heading2"/>
      </w:pPr>
      <w:r>
        <w:t xml:space="preserve">L.55 C055 - RESEARCH_OPEN_OR_BOUNDARY</w:t>
      </w:r>
    </w:p>
    <w:p>
      <w:pPr>
        <w:pStyle w:val="FirstParagraph"/>
      </w:pPr>
      <w:r>
        <w:t xml:space="preserve">Mission-lane noncollapse improves strategic coherence under pressure.</w:t>
      </w:r>
      <w:r>
        <w:t xml:space="preserve"> </w:t>
      </w:r>
      <w:r>
        <w:t xml:space="preserve">-</w:t>
      </w:r>
      <w:r>
        <w:t xml:space="preserve"> </w:t>
      </w:r>
      <w:r>
        <w:rPr>
          <w:b/>
          <w:bCs/>
        </w:rPr>
        <w:t xml:space="preserve">Scope:</w:t>
      </w:r>
      <w:r>
        <w:t xml:space="preserve"> </w:t>
      </w:r>
      <w:r>
        <w:t xml:space="preserve">Authorized mission studies</w:t>
      </w:r>
      <w:r>
        <w:t xml:space="preserve"> </w:t>
      </w:r>
      <w:r>
        <w:t xml:space="preserve">-</w:t>
      </w:r>
      <w:r>
        <w:t xml:space="preserve"> </w:t>
      </w:r>
      <w:r>
        <w:rPr>
          <w:b/>
          <w:bCs/>
        </w:rPr>
        <w:t xml:space="preserve">Source refs:</w:t>
      </w:r>
      <w:r>
        <w:t xml:space="preserve"> </w:t>
      </w:r>
      <w:r>
        <w:t xml:space="preserve">ForkedArchitecture2026;CJCSI3162</w:t>
      </w:r>
      <w:r>
        <w:t xml:space="preserve"> </w:t>
      </w:r>
      <w:r>
        <w:t xml:space="preserve">-</w:t>
      </w:r>
      <w:r>
        <w:t xml:space="preserve"> </w:t>
      </w:r>
      <w:r>
        <w:rPr>
          <w:b/>
          <w:bCs/>
        </w:rPr>
        <w:t xml:space="preserve">Reopen condition:</w:t>
      </w:r>
      <w:r>
        <w:t xml:space="preserve"> </w:t>
      </w:r>
      <w:r>
        <w:t xml:space="preserve">Experts gain no benefit or delay dominates.</w:t>
      </w:r>
    </w:p>
    <w:bookmarkEnd w:id="471"/>
    <w:bookmarkStart w:id="472" w:name="l.56-c056---research_open_or_boundary"/>
    <w:p>
      <w:pPr>
        <w:pStyle w:val="Heading2"/>
      </w:pPr>
      <w:r>
        <w:t xml:space="preserve">L.56 C056 - RESEARCH_OPEN_OR_BOUNDARY</w:t>
      </w:r>
    </w:p>
    <w:p>
      <w:pPr>
        <w:pStyle w:val="FirstParagraph"/>
      </w:pPr>
      <w:r>
        <w:t xml:space="preserve">The public release excludes operational targeting, weapon employment, signature recipes, and deployable deception optimization.</w:t>
      </w:r>
      <w:r>
        <w:t xml:space="preserve"> </w:t>
      </w:r>
      <w:r>
        <w:t xml:space="preserve">-</w:t>
      </w:r>
      <w:r>
        <w:t xml:space="preserve"> </w:t>
      </w:r>
      <w:r>
        <w:rPr>
          <w:b/>
          <w:bCs/>
        </w:rPr>
        <w:t xml:space="preserve">Scope:</w:t>
      </w:r>
      <w:r>
        <w:t xml:space="preserve"> </w:t>
      </w:r>
      <w:r>
        <w:t xml:space="preserve">Public release boundary</w:t>
      </w:r>
      <w:r>
        <w:t xml:space="preserve"> </w:t>
      </w:r>
      <w:r>
        <w:t xml:space="preserve">-</w:t>
      </w:r>
      <w:r>
        <w:t xml:space="preserve"> </w:t>
      </w:r>
      <w:r>
        <w:rPr>
          <w:b/>
          <w:bCs/>
        </w:rPr>
        <w:t xml:space="preserve">Source refs:</w:t>
      </w:r>
      <w:r>
        <w:t xml:space="preserve"> </w:t>
      </w:r>
      <w:r>
        <w:t xml:space="preserve">ForkedNative2026;DoD300009;ICRC2021AWS</w:t>
      </w:r>
      <w:r>
        <w:t xml:space="preserve"> </w:t>
      </w:r>
      <w:r>
        <w:t xml:space="preserve">-</w:t>
      </w:r>
      <w:r>
        <w:t xml:space="preserve"> </w:t>
      </w:r>
      <w:r>
        <w:rPr>
          <w:b/>
          <w:bCs/>
        </w:rPr>
        <w:t xml:space="preserve">Reopen condition:</w:t>
      </w:r>
      <w:r>
        <w:t xml:space="preserve"> </w:t>
      </w:r>
      <w:r>
        <w:t xml:space="preserve">Release audit finds enabling detail.</w:t>
      </w:r>
    </w:p>
    <w:bookmarkEnd w:id="472"/>
    <w:bookmarkStart w:id="473" w:name="l.57-c057---research_open_or_boundary"/>
    <w:p>
      <w:pPr>
        <w:pStyle w:val="Heading2"/>
      </w:pPr>
      <w:r>
        <w:t xml:space="preserve">L.57 C057 - RESEARCH_OPEN_OR_BOUNDARY</w:t>
      </w:r>
    </w:p>
    <w:p>
      <w:pPr>
        <w:pStyle w:val="FirstParagraph"/>
      </w:pPr>
      <w:r>
        <w:t xml:space="preserve">No claim asserts universal optimality across institutions, missions, cultures, or physical environments.</w:t>
      </w:r>
      <w:r>
        <w:t xml:space="preserve"> </w:t>
      </w:r>
      <w:r>
        <w:t xml:space="preserve">-</w:t>
      </w:r>
      <w:r>
        <w:t xml:space="preserve"> </w:t>
      </w:r>
      <w:r>
        <w:rPr>
          <w:b/>
          <w:bCs/>
        </w:rPr>
        <w:t xml:space="preserve">Scope:</w:t>
      </w:r>
      <w:r>
        <w:t xml:space="preserve"> </w:t>
      </w:r>
      <w:r>
        <w:t xml:space="preserve">Paper-wide boundary</w:t>
      </w:r>
      <w:r>
        <w:t xml:space="preserve"> </w:t>
      </w:r>
      <w:r>
        <w:t xml:space="preserve">-</w:t>
      </w:r>
      <w:r>
        <w:t xml:space="preserve"> </w:t>
      </w:r>
      <w:r>
        <w:rPr>
          <w:b/>
          <w:bCs/>
        </w:rPr>
        <w:t xml:space="preserve">Source refs:</w:t>
      </w:r>
      <w:r>
        <w:t xml:space="preserve"> </w:t>
      </w:r>
      <w:r>
        <w:t xml:space="preserve">Taylor2026OpenCenter;NISTAIRMF2023</w:t>
      </w:r>
      <w:r>
        <w:t xml:space="preserve"> </w:t>
      </w:r>
      <w:r>
        <w:t xml:space="preserve">-</w:t>
      </w:r>
      <w:r>
        <w:t xml:space="preserve"> </w:t>
      </w:r>
      <w:r>
        <w:rPr>
          <w:b/>
          <w:bCs/>
        </w:rPr>
        <w:t xml:space="preserve">Reopen condition:</w:t>
      </w:r>
      <w:r>
        <w:t xml:space="preserve"> </w:t>
      </w:r>
      <w:r>
        <w:t xml:space="preserve">An unscoped universal performance claim appears.</w:t>
      </w:r>
    </w:p>
    <w:bookmarkEnd w:id="473"/>
    <w:bookmarkStart w:id="474" w:name="l.58-c058---research_open_or_boundary"/>
    <w:p>
      <w:pPr>
        <w:pStyle w:val="Heading2"/>
      </w:pPr>
      <w:r>
        <w:t xml:space="preserve">L.58 C058 - RESEARCH_OPEN_OR_BOUNDARY</w:t>
      </w:r>
    </w:p>
    <w:p>
      <w:pPr>
        <w:pStyle w:val="FirstParagraph"/>
      </w:pPr>
      <w:r>
        <w:t xml:space="preserve">Capability status and empirical scope remain separate fields.</w:t>
      </w:r>
      <w:r>
        <w:t xml:space="preserve"> </w:t>
      </w:r>
      <w:r>
        <w:t xml:space="preserve">-</w:t>
      </w:r>
      <w:r>
        <w:t xml:space="preserve"> </w:t>
      </w:r>
      <w:r>
        <w:rPr>
          <w:b/>
          <w:bCs/>
        </w:rPr>
        <w:t xml:space="preserve">Scope:</w:t>
      </w:r>
      <w:r>
        <w:t xml:space="preserve"> </w:t>
      </w:r>
      <w:r>
        <w:t xml:space="preserve">Paper and Ubiquity evidence doctrine</w:t>
      </w:r>
      <w:r>
        <w:t xml:space="preserve"> </w:t>
      </w:r>
      <w:r>
        <w:t xml:space="preserve">-</w:t>
      </w:r>
      <w:r>
        <w:t xml:space="preserve"> </w:t>
      </w:r>
      <w:r>
        <w:rPr>
          <w:b/>
          <w:bCs/>
        </w:rPr>
        <w:t xml:space="preserve">Source refs:</w:t>
      </w:r>
      <w:r>
        <w:t xml:space="preserve"> </w:t>
      </w:r>
      <w:r>
        <w:t xml:space="preserve">Taylor2026OpenCenter;ForkedNative2026</w:t>
      </w:r>
      <w:r>
        <w:t xml:space="preserve"> </w:t>
      </w:r>
      <w:r>
        <w:t xml:space="preserve">-</w:t>
      </w:r>
      <w:r>
        <w:t xml:space="preserve"> </w:t>
      </w:r>
      <w:r>
        <w:rPr>
          <w:b/>
          <w:bCs/>
        </w:rPr>
        <w:t xml:space="preserve">Reopen condition:</w:t>
      </w:r>
      <w:r>
        <w:t xml:space="preserve"> </w:t>
      </w:r>
      <w:r>
        <w:t xml:space="preserve">Release collapses them.</w:t>
      </w:r>
    </w:p>
    <w:bookmarkEnd w:id="474"/>
    <w:bookmarkStart w:id="475" w:name="l.59-c059---research_open_or_boundary"/>
    <w:p>
      <w:pPr>
        <w:pStyle w:val="Heading2"/>
      </w:pPr>
      <w:r>
        <w:t xml:space="preserve">L.59 C059 - RESEARCH_OPEN_OR_BOUNDARY</w:t>
      </w:r>
    </w:p>
    <w:p>
      <w:pPr>
        <w:pStyle w:val="FirstParagraph"/>
      </w:pPr>
      <w:r>
        <w:t xml:space="preserve">The v2 paper is grounded in current parent/runtime artifacts rather than the superseded v1 narrative.</w:t>
      </w:r>
      <w:r>
        <w:t xml:space="preserve"> </w:t>
      </w:r>
      <w:r>
        <w:t xml:space="preserve">-</w:t>
      </w:r>
      <w:r>
        <w:t xml:space="preserve"> </w:t>
      </w:r>
      <w:r>
        <w:rPr>
          <w:b/>
          <w:bCs/>
        </w:rPr>
        <w:t xml:space="preserve">Scope:</w:t>
      </w:r>
      <w:r>
        <w:t xml:space="preserve"> </w:t>
      </w:r>
      <w:r>
        <w:t xml:space="preserve">Publication lineage</w:t>
      </w:r>
      <w:r>
        <w:t xml:space="preserve"> </w:t>
      </w:r>
      <w:r>
        <w:t xml:space="preserve">-</w:t>
      </w:r>
      <w:r>
        <w:t xml:space="preserve"> </w:t>
      </w:r>
      <w:r>
        <w:rPr>
          <w:b/>
          <w:bCs/>
        </w:rPr>
        <w:t xml:space="preserve">Source refs:</w:t>
      </w:r>
      <w:r>
        <w:t xml:space="preserve"> </w:t>
      </w:r>
      <w:r>
        <w:t xml:space="preserve">ForkedNative2026;ForkedArchitecture2026</w:t>
      </w:r>
      <w:r>
        <w:t xml:space="preserve"> </w:t>
      </w:r>
      <w:r>
        <w:t xml:space="preserve">-</w:t>
      </w:r>
      <w:r>
        <w:t xml:space="preserve"> </w:t>
      </w:r>
      <w:r>
        <w:rPr>
          <w:b/>
          <w:bCs/>
        </w:rPr>
        <w:t xml:space="preserve">Reopen condition:</w:t>
      </w:r>
      <w:r>
        <w:t xml:space="preserve"> </w:t>
      </w:r>
      <w:r>
        <w:t xml:space="preserve">Build depends on old prose as authority.</w:t>
      </w:r>
    </w:p>
    <w:bookmarkEnd w:id="475"/>
    <w:bookmarkEnd w:id="476"/>
    <w:bookmarkStart w:id="477" w:name="Xa187332030c2b13b723f242189d445edd441f37"/>
    <w:p>
      <w:pPr>
        <w:pStyle w:val="Heading1"/>
      </w:pPr>
      <w:r>
        <w:t xml:space="preserve">Appendix M - Whitepaper distribution contents</w:t>
      </w:r>
    </w:p>
    <w:p>
      <w:pPr>
        <w:pStyle w:val="FirstParagraph"/>
      </w:pPr>
      <w:r>
        <w:t xml:space="preserve">The distribution contains the publication PDF and editable DOCX, Markdown and LaTeX sources, BibTeX references, figures, JSON Schemas, claim register, source-provenance ledger, QA receipts, SHA-256 manifest, and arXiv lane map. The native range and experimental-program archives remain separate lineage packages and are referenced by digest rather than duplicated into the paper bundle.</w:t>
      </w:r>
    </w:p>
    <w:bookmarkEnd w:id="477"/>
    <w:bookmarkStart w:id="565" w:name="references"/>
    <w:p>
      <w:pPr>
        <w:pStyle w:val="Heading1"/>
      </w:pPr>
      <w:r>
        <w:t xml:space="preserve">References</w:t>
      </w:r>
    </w:p>
    <w:bookmarkStart w:id="564" w:name="refs"/>
    <w:bookmarkStart w:id="478" w:name="ref-ForkedNative2026"/>
    <w:p>
      <w:pPr>
        <w:pStyle w:val="Bibliography"/>
      </w:pPr>
      <w:r>
        <w:t xml:space="preserve">[1]</w:t>
      </w:r>
      <w:r>
        <w:t xml:space="preserve"> </w:t>
      </w:r>
      <w:r>
        <w:t xml:space="preserve">	</w:t>
      </w:r>
      <w:r>
        <w:t xml:space="preserve">B. E. Taylor and Ubiquity Federation,</w:t>
      </w:r>
      <w:r>
        <w:t xml:space="preserve"> </w:t>
      </w:r>
      <w:r>
        <w:t xml:space="preserve">“FORKED native range v1.1.”</w:t>
      </w:r>
      <w:r>
        <w:t xml:space="preserve"> </w:t>
      </w:r>
      <w:r>
        <w:t xml:space="preserve">Prompted LLC, 2026.</w:t>
      </w:r>
    </w:p>
    <w:bookmarkEnd w:id="478"/>
    <w:bookmarkStart w:id="479" w:name="ref-ForkedArchitecture2026"/>
    <w:p>
      <w:pPr>
        <w:pStyle w:val="Bibliography"/>
      </w:pPr>
      <w:r>
        <w:t xml:space="preserve">[2]</w:t>
      </w:r>
      <w:r>
        <w:t xml:space="preserve"> </w:t>
      </w:r>
      <w:r>
        <w:t xml:space="preserve">	</w:t>
      </w:r>
      <w:r>
        <w:t xml:space="preserve">Ubiquity Federation,</w:t>
      </w:r>
      <w:r>
        <w:t xml:space="preserve"> </w:t>
      </w:r>
      <w:r>
        <w:t xml:space="preserve">“FORKED native range v1.1 architecture.”</w:t>
      </w:r>
      <w:r>
        <w:t xml:space="preserve"> </w:t>
      </w:r>
      <w:r>
        <w:t xml:space="preserve">2026.</w:t>
      </w:r>
    </w:p>
    <w:bookmarkEnd w:id="479"/>
    <w:bookmarkStart w:id="481" w:name="ref-CJCSI3162"/>
    <w:p>
      <w:pPr>
        <w:pStyle w:val="Bibliography"/>
      </w:pPr>
      <w:r>
        <w:t xml:space="preserve">[3]</w:t>
      </w:r>
      <w:r>
        <w:t xml:space="preserve"> </w:t>
      </w:r>
      <w:r>
        <w:t xml:space="preserve">	</w:t>
      </w:r>
      <w:r>
        <w:t xml:space="preserve">Chairman of the Joint Chiefs of Staff,</w:t>
      </w:r>
      <w:r>
        <w:t xml:space="preserve"> </w:t>
      </w:r>
      <w:r>
        <w:t xml:space="preserve">“CJCSI 3162.02A: Methodology for combat assessment,”</w:t>
      </w:r>
      <w:r>
        <w:t xml:space="preserve"> </w:t>
      </w:r>
      <w:r>
        <w:t xml:space="preserve">Joint Staff, 2021. Available:</w:t>
      </w:r>
      <w:r>
        <w:t xml:space="preserve"> </w:t>
      </w:r>
      <w:hyperlink r:id="rId480">
        <w:r>
          <w:rPr>
            <w:rStyle w:val="Hyperlink"/>
          </w:rPr>
          <w:t xml:space="preserve">https://www.jcs.mil/Portals/36/Documents/Library/Instructions/CJCSI%203162.02A.pdf</w:t>
        </w:r>
      </w:hyperlink>
    </w:p>
    <w:bookmarkEnd w:id="481"/>
    <w:bookmarkStart w:id="483" w:name="ref-Prompted2026Home"/>
    <w:p>
      <w:pPr>
        <w:pStyle w:val="Bibliography"/>
      </w:pPr>
      <w:r>
        <w:t xml:space="preserve">[4]</w:t>
      </w:r>
      <w:r>
        <w:t xml:space="preserve"> </w:t>
      </w:r>
      <w:r>
        <w:t xml:space="preserve">	</w:t>
      </w:r>
      <w:r>
        <w:t xml:space="preserve">Prompted LLC,</w:t>
      </w:r>
      <w:r>
        <w:t xml:space="preserve"> </w:t>
      </w:r>
      <w:r>
        <w:t xml:space="preserve">“Governance substrate for sovereign adaptive systems.”</w:t>
      </w:r>
      <w:r>
        <w:t xml:space="preserve"> </w:t>
      </w:r>
      <w:r>
        <w:t xml:space="preserve">2026. Available:</w:t>
      </w:r>
      <w:r>
        <w:t xml:space="preserve"> </w:t>
      </w:r>
      <w:hyperlink r:id="rId482">
        <w:r>
          <w:rPr>
            <w:rStyle w:val="Hyperlink"/>
          </w:rPr>
          <w:t xml:space="preserve">https://promptedllc.com/</w:t>
        </w:r>
      </w:hyperlink>
    </w:p>
    <w:bookmarkEnd w:id="483"/>
    <w:bookmarkStart w:id="485" w:name="ref-Prompted2026Ubiquity"/>
    <w:p>
      <w:pPr>
        <w:pStyle w:val="Bibliography"/>
      </w:pPr>
      <w:r>
        <w:t xml:space="preserve">[5]</w:t>
      </w:r>
      <w:r>
        <w:t xml:space="preserve"> </w:t>
      </w:r>
      <w:r>
        <w:t xml:space="preserve">	</w:t>
      </w:r>
      <w:r>
        <w:t xml:space="preserve">Prompted LLC,</w:t>
      </w:r>
      <w:r>
        <w:t xml:space="preserve"> </w:t>
      </w:r>
      <w:r>
        <w:t xml:space="preserve">“What is ubiquity? Governance substrate for sovereign adaptive systems.”</w:t>
      </w:r>
      <w:r>
        <w:t xml:space="preserve"> </w:t>
      </w:r>
      <w:r>
        <w:t xml:space="preserve">2026. Available:</w:t>
      </w:r>
      <w:r>
        <w:t xml:space="preserve"> </w:t>
      </w:r>
      <w:hyperlink r:id="rId484">
        <w:r>
          <w:rPr>
            <w:rStyle w:val="Hyperlink"/>
          </w:rPr>
          <w:t xml:space="preserve">https://promptedllc.com/ubiquity</w:t>
        </w:r>
      </w:hyperlink>
    </w:p>
    <w:bookmarkEnd w:id="485"/>
    <w:bookmarkStart w:id="487" w:name="ref-Prompted2026Continuity"/>
    <w:p>
      <w:pPr>
        <w:pStyle w:val="Bibliography"/>
      </w:pPr>
      <w:r>
        <w:t xml:space="preserve">[6]</w:t>
      </w:r>
      <w:r>
        <w:t xml:space="preserve"> </w:t>
      </w:r>
      <w:r>
        <w:t xml:space="preserve">	</w:t>
      </w:r>
      <w:r>
        <w:t xml:space="preserve">Prompted LLC,</w:t>
      </w:r>
      <w:r>
        <w:t xml:space="preserve"> </w:t>
      </w:r>
      <w:r>
        <w:t xml:space="preserve">“Sovereign continuity: The root frame for sovereign adaptive systems.”</w:t>
      </w:r>
      <w:r>
        <w:t xml:space="preserve"> </w:t>
      </w:r>
      <w:r>
        <w:t xml:space="preserve">2026. Available:</w:t>
      </w:r>
      <w:r>
        <w:t xml:space="preserve"> </w:t>
      </w:r>
      <w:hyperlink r:id="rId486">
        <w:r>
          <w:rPr>
            <w:rStyle w:val="Hyperlink"/>
          </w:rPr>
          <w:t xml:space="preserve">https://promptedllc.com/sovereign-continuity</w:t>
        </w:r>
      </w:hyperlink>
    </w:p>
    <w:bookmarkEnd w:id="487"/>
    <w:bookmarkStart w:id="489" w:name="ref-Taylor2026FQoQ"/>
    <w:p>
      <w:pPr>
        <w:pStyle w:val="Bibliography"/>
      </w:pPr>
      <w:r>
        <w:t xml:space="preserve">[7]</w:t>
      </w:r>
      <w:r>
        <w:t xml:space="preserve"> </w:t>
      </w:r>
      <w:r>
        <w:t xml:space="preserve">	</w:t>
      </w:r>
      <w:r>
        <w:t xml:space="preserve">B. E. Taylor,</w:t>
      </w:r>
      <w:r>
        <w:t xml:space="preserve"> </w:t>
      </w:r>
      <w:r>
        <w:t xml:space="preserve">“Fractal quivers of quivers: A mathematical substrate for ubiquitous agent governance.”</w:t>
      </w:r>
      <w:r>
        <w:t xml:space="preserve"> </w:t>
      </w:r>
      <w:r>
        <w:t xml:space="preserve">Prompted LLC, 2026. Available:</w:t>
      </w:r>
      <w:r>
        <w:t xml:space="preserve"> </w:t>
      </w:r>
      <w:hyperlink r:id="rId488">
        <w:r>
          <w:rPr>
            <w:rStyle w:val="Hyperlink"/>
          </w:rPr>
          <w:t xml:space="preserve">https://promptedllc.com/fractal-quivers-of-quivers</w:t>
        </w:r>
      </w:hyperlink>
    </w:p>
    <w:bookmarkEnd w:id="489"/>
    <w:bookmarkStart w:id="490" w:name="ref-Taylor2026OpenCenter"/>
    <w:p>
      <w:pPr>
        <w:pStyle w:val="Bibliography"/>
      </w:pPr>
      <w:r>
        <w:t xml:space="preserve">[8]</w:t>
      </w:r>
      <w:r>
        <w:t xml:space="preserve"> </w:t>
      </w:r>
      <w:r>
        <w:t xml:space="preserve">	</w:t>
      </w:r>
      <w:r>
        <w:t xml:space="preserve">B. E. Taylor,</w:t>
      </w:r>
      <w:r>
        <w:t xml:space="preserve"> </w:t>
      </w:r>
      <w:r>
        <w:t xml:space="preserve">“Computing around the open center: Splat mechanics, fractal quivers of quivers, and a governance-native compute paradigm.”</w:t>
      </w:r>
      <w:r>
        <w:t xml:space="preserve"> </w:t>
      </w:r>
      <w:r>
        <w:t xml:space="preserve">Prompted LLC, 2026.</w:t>
      </w:r>
    </w:p>
    <w:bookmarkEnd w:id="490"/>
    <w:bookmarkStart w:id="492" w:name="ref-Prompted2026CGG"/>
    <w:p>
      <w:pPr>
        <w:pStyle w:val="Bibliography"/>
      </w:pPr>
      <w:r>
        <w:t xml:space="preserve">[9]</w:t>
      </w:r>
      <w:r>
        <w:t xml:space="preserve"> </w:t>
      </w:r>
      <w:r>
        <w:t xml:space="preserve">	</w:t>
      </w:r>
      <w:r>
        <w:t xml:space="preserve">Prompted LLC,</w:t>
      </w:r>
      <w:r>
        <w:t xml:space="preserve"> </w:t>
      </w:r>
      <w:r>
        <w:t xml:space="preserve">“Context grapple gun: Portable governance lifecycle for claude code.”</w:t>
      </w:r>
      <w:r>
        <w:t xml:space="preserve"> </w:t>
      </w:r>
      <w:r>
        <w:t xml:space="preserve">2026. Available:</w:t>
      </w:r>
      <w:r>
        <w:t xml:space="preserve"> </w:t>
      </w:r>
      <w:hyperlink r:id="rId491">
        <w:r>
          <w:rPr>
            <w:rStyle w:val="Hyperlink"/>
          </w:rPr>
          <w:t xml:space="preserve">https://promptedllc.com/context-grapple-gun</w:t>
        </w:r>
      </w:hyperlink>
    </w:p>
    <w:bookmarkEnd w:id="492"/>
    <w:bookmarkStart w:id="493" w:name="ref-ForkedExperiments2026"/>
    <w:p>
      <w:pPr>
        <w:pStyle w:val="Bibliography"/>
      </w:pPr>
      <w:r>
        <w:t xml:space="preserve">[10]</w:t>
      </w:r>
      <w:r>
        <w:t xml:space="preserve"> </w:t>
      </w:r>
      <w:r>
        <w:t xml:space="preserve">	</w:t>
      </w:r>
      <w:r>
        <w:t xml:space="preserve">B. E. Taylor and Ubiquity Federation,</w:t>
      </w:r>
      <w:r>
        <w:t xml:space="preserve"> </w:t>
      </w:r>
      <w:r>
        <w:t xml:space="preserve">“FORKED experimental program v0.1.”</w:t>
      </w:r>
      <w:r>
        <w:t xml:space="preserve"> </w:t>
      </w:r>
      <w:r>
        <w:t xml:space="preserve">Prompted LLC, 2026.</w:t>
      </w:r>
    </w:p>
    <w:bookmarkEnd w:id="493"/>
    <w:bookmarkStart w:id="494" w:name="ref-ForkedCampaign2026"/>
    <w:p>
      <w:pPr>
        <w:pStyle w:val="Bibliography"/>
      </w:pPr>
      <w:r>
        <w:t xml:space="preserve">[11]</w:t>
      </w:r>
      <w:r>
        <w:t xml:space="preserve"> </w:t>
      </w:r>
      <w:r>
        <w:t xml:space="preserve">	</w:t>
      </w:r>
      <w:r>
        <w:t xml:space="preserve">Ubiquity Federation,</w:t>
      </w:r>
      <w:r>
        <w:t xml:space="preserve"> </w:t>
      </w:r>
      <w:r>
        <w:t xml:space="preserve">“FORKED native range integrated synthetic campaign summary.”</w:t>
      </w:r>
      <w:r>
        <w:t xml:space="preserve"> </w:t>
      </w:r>
      <w:r>
        <w:t xml:space="preserve">2026.</w:t>
      </w:r>
    </w:p>
    <w:bookmarkEnd w:id="494"/>
    <w:bookmarkStart w:id="496" w:name="ref-NISTAIRMF2023"/>
    <w:p>
      <w:pPr>
        <w:pStyle w:val="Bibliography"/>
      </w:pPr>
      <w:r>
        <w:t xml:space="preserve">[12]</w:t>
      </w:r>
      <w:r>
        <w:t xml:space="preserve"> </w:t>
      </w:r>
      <w:r>
        <w:t xml:space="preserve">	</w:t>
      </w:r>
      <w:r>
        <w:t xml:space="preserve">E. Tabassi,</w:t>
      </w:r>
      <w:r>
        <w:t xml:space="preserve"> </w:t>
      </w:r>
      <w:r>
        <w:t xml:space="preserve">“Artificial intelligence risk management framework (AI RMF 1.0),”</w:t>
      </w:r>
      <w:r>
        <w:t xml:space="preserve"> </w:t>
      </w:r>
      <w:r>
        <w:t xml:space="preserve">National Institute of Standards; Technology, NIST AI 100-1, 2023. doi:</w:t>
      </w:r>
      <w:r>
        <w:t xml:space="preserve"> </w:t>
      </w:r>
      <w:hyperlink r:id="rId495">
        <w:r>
          <w:rPr>
            <w:rStyle w:val="Hyperlink"/>
          </w:rPr>
          <w:t xml:space="preserve">10.6028/NIST.AI.100-1</w:t>
        </w:r>
      </w:hyperlink>
      <w:r>
        <w:t xml:space="preserve">.</w:t>
      </w:r>
    </w:p>
    <w:bookmarkEnd w:id="496"/>
    <w:bookmarkStart w:id="498" w:name="ref-NISTGenAI2024"/>
    <w:p>
      <w:pPr>
        <w:pStyle w:val="Bibliography"/>
      </w:pPr>
      <w:r>
        <w:t xml:space="preserve">[13]</w:t>
      </w:r>
      <w:r>
        <w:t xml:space="preserve"> </w:t>
      </w:r>
      <w:r>
        <w:t xml:space="preserve">	</w:t>
      </w:r>
      <w:r>
        <w:t xml:space="preserve">C. Autio, R. Schwartz,</w:t>
      </w:r>
      <w:r>
        <w:t xml:space="preserve"> </w:t>
      </w:r>
      <w:r>
        <w:rPr>
          <w:i/>
          <w:iCs/>
        </w:rPr>
        <w:t xml:space="preserve">et al.</w:t>
      </w:r>
      <w:r>
        <w:t xml:space="preserve">,</w:t>
      </w:r>
      <w:r>
        <w:t xml:space="preserve"> </w:t>
      </w:r>
      <w:r>
        <w:t xml:space="preserve">“Artificial intelligence risk management framework: Generative artificial intelligence profile,”</w:t>
      </w:r>
      <w:r>
        <w:t xml:space="preserve"> </w:t>
      </w:r>
      <w:r>
        <w:t xml:space="preserve">National Institute of Standards; Technology, NIST AI 600-1, 2024. doi:</w:t>
      </w:r>
      <w:r>
        <w:t xml:space="preserve"> </w:t>
      </w:r>
      <w:hyperlink r:id="rId497">
        <w:r>
          <w:rPr>
            <w:rStyle w:val="Hyperlink"/>
          </w:rPr>
          <w:t xml:space="preserve">10.6028/NIST.AI.600-1</w:t>
        </w:r>
      </w:hyperlink>
      <w:r>
        <w:t xml:space="preserve">.</w:t>
      </w:r>
    </w:p>
    <w:bookmarkEnd w:id="498"/>
    <w:bookmarkStart w:id="500" w:name="ref-NISTAML2024"/>
    <w:p>
      <w:pPr>
        <w:pStyle w:val="Bibliography"/>
      </w:pPr>
      <w:r>
        <w:t xml:space="preserve">[14]</w:t>
      </w:r>
      <w:r>
        <w:t xml:space="preserve"> </w:t>
      </w:r>
      <w:r>
        <w:t xml:space="preserve">	</w:t>
      </w:r>
      <w:r>
        <w:t xml:space="preserve">A. Vassilev</w:t>
      </w:r>
      <w:r>
        <w:t xml:space="preserve"> </w:t>
      </w:r>
      <w:r>
        <w:rPr>
          <w:i/>
          <w:iCs/>
        </w:rPr>
        <w:t xml:space="preserve">et al.</w:t>
      </w:r>
      <w:r>
        <w:t xml:space="preserve">,</w:t>
      </w:r>
      <w:r>
        <w:t xml:space="preserve"> </w:t>
      </w:r>
      <w:r>
        <w:t xml:space="preserve">“Adversarial machine learning: A taxonomy and terminology of attacks and mitigations,”</w:t>
      </w:r>
      <w:r>
        <w:t xml:space="preserve"> </w:t>
      </w:r>
      <w:r>
        <w:t xml:space="preserve">National Institute of Standards; Technology, NIST AI 100-2e2023, 2024. doi:</w:t>
      </w:r>
      <w:r>
        <w:t xml:space="preserve"> </w:t>
      </w:r>
      <w:hyperlink r:id="rId499">
        <w:r>
          <w:rPr>
            <w:rStyle w:val="Hyperlink"/>
          </w:rPr>
          <w:t xml:space="preserve">10.6028/NIST.AI.100-2e2023</w:t>
        </w:r>
      </w:hyperlink>
      <w:r>
        <w:t xml:space="preserve">.</w:t>
      </w:r>
    </w:p>
    <w:bookmarkEnd w:id="500"/>
    <w:bookmarkStart w:id="502" w:name="ref-W3CPROV2013"/>
    <w:p>
      <w:pPr>
        <w:pStyle w:val="Bibliography"/>
      </w:pPr>
      <w:r>
        <w:t xml:space="preserve">[15]</w:t>
      </w:r>
      <w:r>
        <w:t xml:space="preserve"> </w:t>
      </w:r>
      <w:r>
        <w:t xml:space="preserve">	</w:t>
      </w:r>
      <w:r>
        <w:t xml:space="preserve">T. Lebo, S. Sahoo, and D. McGuinness,</w:t>
      </w:r>
      <w:r>
        <w:t xml:space="preserve"> </w:t>
      </w:r>
      <w:r>
        <w:t xml:space="preserve">“PROV-o: The PROV ontology.”</w:t>
      </w:r>
      <w:r>
        <w:t xml:space="preserve"> </w:t>
      </w:r>
      <w:r>
        <w:t xml:space="preserve">World Wide Web Consortium, 2013. Available:</w:t>
      </w:r>
      <w:r>
        <w:t xml:space="preserve"> </w:t>
      </w:r>
      <w:hyperlink r:id="rId501">
        <w:r>
          <w:rPr>
            <w:rStyle w:val="Hyperlink"/>
          </w:rPr>
          <w:t xml:space="preserve">https://www.w3.org/TR/prov-o/</w:t>
        </w:r>
      </w:hyperlink>
    </w:p>
    <w:bookmarkEnd w:id="502"/>
    <w:bookmarkStart w:id="504" w:name="ref-C2PA2025"/>
    <w:p>
      <w:pPr>
        <w:pStyle w:val="Bibliography"/>
      </w:pPr>
      <w:r>
        <w:t xml:space="preserve">[16]</w:t>
      </w:r>
      <w:r>
        <w:t xml:space="preserve"> </w:t>
      </w:r>
      <w:r>
        <w:t xml:space="preserve">	</w:t>
      </w:r>
      <w:r>
        <w:t xml:space="preserve">Coalition for Content Provenance and Authenticity,</w:t>
      </w:r>
      <w:r>
        <w:t xml:space="preserve"> </w:t>
      </w:r>
      <w:r>
        <w:t xml:space="preserve">“C2PA technical specification, version 2.3.”</w:t>
      </w:r>
      <w:r>
        <w:t xml:space="preserve"> </w:t>
      </w:r>
      <w:r>
        <w:t xml:space="preserve">2025. Available:</w:t>
      </w:r>
      <w:r>
        <w:t xml:space="preserve"> </w:t>
      </w:r>
      <w:hyperlink r:id="rId503">
        <w:r>
          <w:rPr>
            <w:rStyle w:val="Hyperlink"/>
          </w:rPr>
          <w:t xml:space="preserve">https://spec.c2pa.org/specifications/specifications/2.3/specs/C2PA_Specification.html</w:t>
        </w:r>
      </w:hyperlink>
    </w:p>
    <w:bookmarkEnd w:id="504"/>
    <w:bookmarkStart w:id="506" w:name="ref-SLSA2026"/>
    <w:p>
      <w:pPr>
        <w:pStyle w:val="Bibliography"/>
      </w:pPr>
      <w:r>
        <w:t xml:space="preserve">[17]</w:t>
      </w:r>
      <w:r>
        <w:t xml:space="preserve"> </w:t>
      </w:r>
      <w:r>
        <w:t xml:space="preserve">	</w:t>
      </w:r>
      <w:r>
        <w:t xml:space="preserve">Open Source Security Foundation,</w:t>
      </w:r>
      <w:r>
        <w:t xml:space="preserve"> </w:t>
      </w:r>
      <w:r>
        <w:t xml:space="preserve">“Supply-chain levels for software artifacts: Provenance, version 1.2.”</w:t>
      </w:r>
      <w:r>
        <w:t xml:space="preserve"> </w:t>
      </w:r>
      <w:r>
        <w:t xml:space="preserve">2026. Available:</w:t>
      </w:r>
      <w:r>
        <w:t xml:space="preserve"> </w:t>
      </w:r>
      <w:hyperlink r:id="rId505">
        <w:r>
          <w:rPr>
            <w:rStyle w:val="Hyperlink"/>
          </w:rPr>
          <w:t xml:space="preserve">https://slsa.dev/spec/v1.2/provenance</w:t>
        </w:r>
      </w:hyperlink>
    </w:p>
    <w:bookmarkEnd w:id="506"/>
    <w:bookmarkStart w:id="508" w:name="ref-InToto2024"/>
    <w:p>
      <w:pPr>
        <w:pStyle w:val="Bibliography"/>
      </w:pPr>
      <w:r>
        <w:t xml:space="preserve">[18]</w:t>
      </w:r>
      <w:r>
        <w:t xml:space="preserve"> </w:t>
      </w:r>
      <w:r>
        <w:t xml:space="preserve">	</w:t>
      </w:r>
      <w:r>
        <w:t xml:space="preserve">in-toto Project,</w:t>
      </w:r>
      <w:r>
        <w:t xml:space="preserve"> </w:t>
      </w:r>
      <w:r>
        <w:t xml:space="preserve">“What is in-toto?”</w:t>
      </w:r>
      <w:r>
        <w:t xml:space="preserve"> 2024. Available:</w:t>
      </w:r>
      <w:r>
        <w:t xml:space="preserve"> </w:t>
      </w:r>
      <w:hyperlink r:id="rId507">
        <w:r>
          <w:rPr>
            <w:rStyle w:val="Hyperlink"/>
          </w:rPr>
          <w:t xml:space="preserve">https://in-toto.io/docs/what-is-in-toto/</w:t>
        </w:r>
      </w:hyperlink>
    </w:p>
    <w:bookmarkEnd w:id="508"/>
    <w:bookmarkStart w:id="509" w:name="ref-Leveson2011Engineering"/>
    <w:p>
      <w:pPr>
        <w:pStyle w:val="Bibliography"/>
      </w:pPr>
      <w:r>
        <w:t xml:space="preserve">[19]</w:t>
      </w:r>
      <w:r>
        <w:t xml:space="preserve"> </w:t>
      </w:r>
      <w:r>
        <w:t xml:space="preserve">	</w:t>
      </w:r>
      <w:r>
        <w:t xml:space="preserve">N. G. Leveson,</w:t>
      </w:r>
      <w:r>
        <w:t xml:space="preserve"> </w:t>
      </w:r>
      <w:r>
        <w:rPr>
          <w:i/>
          <w:iCs/>
        </w:rPr>
        <w:t xml:space="preserve">Engineering a safer world: Systems thinking applied to safety</w:t>
      </w:r>
      <w:r>
        <w:t xml:space="preserve">. MIT Press, 2011.</w:t>
      </w:r>
    </w:p>
    <w:bookmarkEnd w:id="509"/>
    <w:bookmarkStart w:id="511" w:name="ref-Bauer2011Runtime"/>
    <w:p>
      <w:pPr>
        <w:pStyle w:val="Bibliography"/>
      </w:pPr>
      <w:r>
        <w:t xml:space="preserve">[20]</w:t>
      </w:r>
      <w:r>
        <w:t xml:space="preserve"> </w:t>
      </w:r>
      <w:r>
        <w:t xml:space="preserve">	</w:t>
      </w:r>
      <w:r>
        <w:t xml:space="preserve">A. Bauer, M. Leucker, and C. Schallhart,</w:t>
      </w:r>
      <w:r>
        <w:t xml:space="preserve"> </w:t>
      </w:r>
      <w:r>
        <w:t xml:space="preserve">“Runtime verification for LTL and TLTL,”</w:t>
      </w:r>
      <w:r>
        <w:t xml:space="preserve"> </w:t>
      </w:r>
      <w:r>
        <w:rPr>
          <w:i/>
          <w:iCs/>
        </w:rPr>
        <w:t xml:space="preserve">ACM Transactions on Software Engineering and Methodology</w:t>
      </w:r>
      <w:r>
        <w:t xml:space="preserve">, vol. 20, no. 4, 2011, doi:</w:t>
      </w:r>
      <w:r>
        <w:t xml:space="preserve"> </w:t>
      </w:r>
      <w:hyperlink r:id="rId510">
        <w:r>
          <w:rPr>
            <w:rStyle w:val="Hyperlink"/>
          </w:rPr>
          <w:t xml:space="preserve">10.1145/2000799.2000800</w:t>
        </w:r>
      </w:hyperlink>
      <w:r>
        <w:t xml:space="preserve">.</w:t>
      </w:r>
    </w:p>
    <w:bookmarkEnd w:id="511"/>
    <w:bookmarkStart w:id="512" w:name="ref-AesopField2026"/>
    <w:p>
      <w:pPr>
        <w:pStyle w:val="Bibliography"/>
      </w:pPr>
      <w:r>
        <w:t xml:space="preserve">[21]</w:t>
      </w:r>
      <w:r>
        <w:t xml:space="preserve"> </w:t>
      </w:r>
      <w:r>
        <w:t xml:space="preserve">	</w:t>
      </w:r>
      <w:r>
        <w:t xml:space="preserve">Ubiquity Federation,</w:t>
      </w:r>
      <w:r>
        <w:t xml:space="preserve"> </w:t>
      </w:r>
      <w:r>
        <w:rPr>
          <w:i/>
          <w:iCs/>
        </w:rPr>
        <w:t xml:space="preserve">Aesop_archetype_field.py: Federation-native aesop archetype field</w:t>
      </w:r>
      <w:r>
        <w:t xml:space="preserve">. (2026).</w:t>
      </w:r>
    </w:p>
    <w:bookmarkEnd w:id="512"/>
    <w:bookmarkStart w:id="513" w:name="ref-TerrainDoctrine2026"/>
    <w:p>
      <w:pPr>
        <w:pStyle w:val="Bibliography"/>
      </w:pPr>
      <w:r>
        <w:t xml:space="preserve">[22]</w:t>
      </w:r>
      <w:r>
        <w:t xml:space="preserve"> </w:t>
      </w:r>
      <w:r>
        <w:t xml:space="preserve">	</w:t>
      </w:r>
      <w:r>
        <w:t xml:space="preserve">Ubiquity Federation,</w:t>
      </w:r>
      <w:r>
        <w:t xml:space="preserve"> </w:t>
      </w:r>
      <w:r>
        <w:t xml:space="preserve">“Terrain-training doctrine: Receipt-mediated visibility and concentration as anti-cheat.”</w:t>
      </w:r>
      <w:r>
        <w:t xml:space="preserve"> </w:t>
      </w:r>
      <w:r>
        <w:t xml:space="preserve">2026.</w:t>
      </w:r>
    </w:p>
    <w:bookmarkEnd w:id="513"/>
    <w:bookmarkStart w:id="515" w:name="ref-Lamport1978Time"/>
    <w:p>
      <w:pPr>
        <w:pStyle w:val="Bibliography"/>
      </w:pPr>
      <w:r>
        <w:t xml:space="preserve">[23]</w:t>
      </w:r>
      <w:r>
        <w:t xml:space="preserve"> </w:t>
      </w:r>
      <w:r>
        <w:t xml:space="preserve">	</w:t>
      </w:r>
      <w:r>
        <w:t xml:space="preserve">L. Lamport,</w:t>
      </w:r>
      <w:r>
        <w:t xml:space="preserve"> </w:t>
      </w:r>
      <w:r>
        <w:t xml:space="preserve">“Time, clocks, and the ordering of events in a distributed system,”</w:t>
      </w:r>
      <w:r>
        <w:t xml:space="preserve"> </w:t>
      </w:r>
      <w:r>
        <w:rPr>
          <w:i/>
          <w:iCs/>
        </w:rPr>
        <w:t xml:space="preserve">Communications of the ACM</w:t>
      </w:r>
      <w:r>
        <w:t xml:space="preserve">, vol. 21, no. 7, pp. 558–565, 1978, doi:</w:t>
      </w:r>
      <w:r>
        <w:t xml:space="preserve"> </w:t>
      </w:r>
      <w:hyperlink r:id="rId514">
        <w:r>
          <w:rPr>
            <w:rStyle w:val="Hyperlink"/>
          </w:rPr>
          <w:t xml:space="preserve">10.1145/359545.359563</w:t>
        </w:r>
      </w:hyperlink>
      <w:r>
        <w:t xml:space="preserve">.</w:t>
      </w:r>
    </w:p>
    <w:bookmarkEnd w:id="515"/>
    <w:bookmarkStart w:id="516" w:name="ref-Mattern1989VirtualTime"/>
    <w:p>
      <w:pPr>
        <w:pStyle w:val="Bibliography"/>
      </w:pPr>
      <w:r>
        <w:t xml:space="preserve">[24]</w:t>
      </w:r>
      <w:r>
        <w:t xml:space="preserve"> </w:t>
      </w:r>
      <w:r>
        <w:t xml:space="preserve">	</w:t>
      </w:r>
      <w:r>
        <w:t xml:space="preserve">F. Mattern,</w:t>
      </w:r>
      <w:r>
        <w:t xml:space="preserve"> </w:t>
      </w:r>
      <w:r>
        <w:t xml:space="preserve">“Virtual time and global states of distributed systems,”</w:t>
      </w:r>
      <w:r>
        <w:t xml:space="preserve"> </w:t>
      </w:r>
      <w:r>
        <w:rPr>
          <w:i/>
          <w:iCs/>
        </w:rPr>
        <w:t xml:space="preserve">Parallel and Distributed Algorithms</w:t>
      </w:r>
      <w:r>
        <w:t xml:space="preserve">, pp. 215–226, 1989.</w:t>
      </w:r>
    </w:p>
    <w:bookmarkEnd w:id="516"/>
    <w:bookmarkStart w:id="517" w:name="ref-Snodgrass1999Temporal"/>
    <w:p>
      <w:pPr>
        <w:pStyle w:val="Bibliography"/>
      </w:pPr>
      <w:r>
        <w:t xml:space="preserve">[25]</w:t>
      </w:r>
      <w:r>
        <w:t xml:space="preserve"> </w:t>
      </w:r>
      <w:r>
        <w:t xml:space="preserve">	</w:t>
      </w:r>
      <w:r>
        <w:t xml:space="preserve">R. T. Snodgrass,</w:t>
      </w:r>
      <w:r>
        <w:t xml:space="preserve"> </w:t>
      </w:r>
      <w:r>
        <w:rPr>
          <w:i/>
          <w:iCs/>
        </w:rPr>
        <w:t xml:space="preserve">Developing time-oriented database applications in SQL</w:t>
      </w:r>
      <w:r>
        <w:t xml:space="preserve">. Morgan Kaufmann, 1999.</w:t>
      </w:r>
    </w:p>
    <w:bookmarkEnd w:id="517"/>
    <w:bookmarkStart w:id="519" w:name="ref-Kaelbling1998POMDP"/>
    <w:p>
      <w:pPr>
        <w:pStyle w:val="Bibliography"/>
      </w:pPr>
      <w:r>
        <w:t xml:space="preserve">[26]</w:t>
      </w:r>
      <w:r>
        <w:t xml:space="preserve"> </w:t>
      </w:r>
      <w:r>
        <w:t xml:space="preserve">	</w:t>
      </w:r>
      <w:r>
        <w:t xml:space="preserve">L. P. Kaelbling, M. L. Littman, and A. R. Cassandra,</w:t>
      </w:r>
      <w:r>
        <w:t xml:space="preserve"> </w:t>
      </w:r>
      <w:r>
        <w:t xml:space="preserve">“Planning and acting in partially observable stochastic domains,”</w:t>
      </w:r>
      <w:r>
        <w:t xml:space="preserve"> </w:t>
      </w:r>
      <w:r>
        <w:rPr>
          <w:i/>
          <w:iCs/>
        </w:rPr>
        <w:t xml:space="preserve">Artificial Intelligence</w:t>
      </w:r>
      <w:r>
        <w:t xml:space="preserve">, vol. 101, pp. 99–134, 1998, doi:</w:t>
      </w:r>
      <w:r>
        <w:t xml:space="preserve"> </w:t>
      </w:r>
      <w:hyperlink r:id="rId518">
        <w:r>
          <w:rPr>
            <w:rStyle w:val="Hyperlink"/>
          </w:rPr>
          <w:t xml:space="preserve">10.1016/S0004-3702(98)00023-X</w:t>
        </w:r>
      </w:hyperlink>
      <w:r>
        <w:t xml:space="preserve">.</w:t>
      </w:r>
    </w:p>
    <w:bookmarkEnd w:id="519"/>
    <w:bookmarkStart w:id="520" w:name="ref-Pearl2009Causality"/>
    <w:p>
      <w:pPr>
        <w:pStyle w:val="Bibliography"/>
      </w:pPr>
      <w:r>
        <w:t xml:space="preserve">[27]</w:t>
      </w:r>
      <w:r>
        <w:t xml:space="preserve"> </w:t>
      </w:r>
      <w:r>
        <w:t xml:space="preserve">	</w:t>
      </w:r>
      <w:r>
        <w:t xml:space="preserve">J. Pearl,</w:t>
      </w:r>
      <w:r>
        <w:t xml:space="preserve"> </w:t>
      </w:r>
      <w:r>
        <w:rPr>
          <w:i/>
          <w:iCs/>
        </w:rPr>
        <w:t xml:space="preserve">Causality: Models, reasoning, and inference</w:t>
      </w:r>
      <w:r>
        <w:t xml:space="preserve">, 2nd ed. Cambridge University Press, 2009.</w:t>
      </w:r>
    </w:p>
    <w:bookmarkEnd w:id="520"/>
    <w:bookmarkStart w:id="522" w:name="ref-Bainbridge1983Ironies"/>
    <w:p>
      <w:pPr>
        <w:pStyle w:val="Bibliography"/>
      </w:pPr>
      <w:r>
        <w:t xml:space="preserve">[28]</w:t>
      </w:r>
      <w:r>
        <w:t xml:space="preserve"> </w:t>
      </w:r>
      <w:r>
        <w:t xml:space="preserve">	</w:t>
      </w:r>
      <w:r>
        <w:t xml:space="preserve">L. Bainbridge,</w:t>
      </w:r>
      <w:r>
        <w:t xml:space="preserve"> </w:t>
      </w:r>
      <w:r>
        <w:t xml:space="preserve">“Ironies of automation,”</w:t>
      </w:r>
      <w:r>
        <w:t xml:space="preserve"> </w:t>
      </w:r>
      <w:r>
        <w:rPr>
          <w:i/>
          <w:iCs/>
        </w:rPr>
        <w:t xml:space="preserve">Automatica</w:t>
      </w:r>
      <w:r>
        <w:t xml:space="preserve">, vol. 19, no. 6, pp. 775–779, 1983, doi:</w:t>
      </w:r>
      <w:r>
        <w:t xml:space="preserve"> </w:t>
      </w:r>
      <w:hyperlink r:id="rId521">
        <w:r>
          <w:rPr>
            <w:rStyle w:val="Hyperlink"/>
          </w:rPr>
          <w:t xml:space="preserve">10.1016/0005-1098(83)90046-8</w:t>
        </w:r>
      </w:hyperlink>
      <w:r>
        <w:t xml:space="preserve">.</w:t>
      </w:r>
    </w:p>
    <w:bookmarkEnd w:id="522"/>
    <w:bookmarkStart w:id="523" w:name="ref-Parasuraman2000Automation"/>
    <w:p>
      <w:pPr>
        <w:pStyle w:val="Bibliography"/>
      </w:pPr>
      <w:r>
        <w:t xml:space="preserve">[29]</w:t>
      </w:r>
      <w:r>
        <w:t xml:space="preserve"> </w:t>
      </w:r>
      <w:r>
        <w:t xml:space="preserve">	</w:t>
      </w:r>
      <w:r>
        <w:t xml:space="preserve">R. Parasuraman and M. Mouloua,</w:t>
      </w:r>
      <w:r>
        <w:t xml:space="preserve"> </w:t>
      </w:r>
      <w:r>
        <w:rPr>
          <w:i/>
          <w:iCs/>
        </w:rPr>
        <w:t xml:space="preserve">Automation and human performance: Theory and applications</w:t>
      </w:r>
      <w:r>
        <w:t xml:space="preserve">. Lawrence Erlbaum Associates, 2000.</w:t>
      </w:r>
    </w:p>
    <w:bookmarkEnd w:id="523"/>
    <w:bookmarkStart w:id="525" w:name="ref-Mecacci2020MHC"/>
    <w:p>
      <w:pPr>
        <w:pStyle w:val="Bibliography"/>
      </w:pPr>
      <w:r>
        <w:t xml:space="preserve">[30]</w:t>
      </w:r>
      <w:r>
        <w:t xml:space="preserve"> </w:t>
      </w:r>
      <w:r>
        <w:t xml:space="preserve">	</w:t>
      </w:r>
      <w:r>
        <w:t xml:space="preserve">G. Mecacci and F. Santoni de Sio,</w:t>
      </w:r>
      <w:r>
        <w:t xml:space="preserve"> </w:t>
      </w:r>
      <w:r>
        <w:t xml:space="preserve">“Meaningful human control as reason-responsiveness: The case of dual-mode vehicles,”</w:t>
      </w:r>
      <w:r>
        <w:t xml:space="preserve"> </w:t>
      </w:r>
      <w:r>
        <w:rPr>
          <w:i/>
          <w:iCs/>
        </w:rPr>
        <w:t xml:space="preserve">Ethics and Information Technology</w:t>
      </w:r>
      <w:r>
        <w:t xml:space="preserve">, vol. 22, pp. 103–115, 2020, doi:</w:t>
      </w:r>
      <w:r>
        <w:t xml:space="preserve"> </w:t>
      </w:r>
      <w:hyperlink r:id="rId524">
        <w:r>
          <w:rPr>
            <w:rStyle w:val="Hyperlink"/>
          </w:rPr>
          <w:t xml:space="preserve">10.1007/s10676-019-09519-w</w:t>
        </w:r>
      </w:hyperlink>
      <w:r>
        <w:t xml:space="preserve">.</w:t>
      </w:r>
    </w:p>
    <w:bookmarkEnd w:id="525"/>
    <w:bookmarkStart w:id="527" w:name="ref-DeSio2023MHC"/>
    <w:p>
      <w:pPr>
        <w:pStyle w:val="Bibliography"/>
      </w:pPr>
      <w:r>
        <w:t xml:space="preserve">[31]</w:t>
      </w:r>
      <w:r>
        <w:t xml:space="preserve"> </w:t>
      </w:r>
      <w:r>
        <w:t xml:space="preserve">	</w:t>
      </w:r>
      <w:r>
        <w:t xml:space="preserve">F. Santoni de Sio, G. Mecacci, S. Calvert, D. Heikoop, M. Hagenzieker, and B. van Arem,</w:t>
      </w:r>
      <w:r>
        <w:t xml:space="preserve"> </w:t>
      </w:r>
      <w:r>
        <w:t xml:space="preserve">“Realising meaningful human control over automated driving systems: A multidisciplinary approach,”</w:t>
      </w:r>
      <w:r>
        <w:t xml:space="preserve"> </w:t>
      </w:r>
      <w:r>
        <w:rPr>
          <w:i/>
          <w:iCs/>
        </w:rPr>
        <w:t xml:space="preserve">Minds and Machines</w:t>
      </w:r>
      <w:r>
        <w:t xml:space="preserve">, vol. 33, pp. 587–611, 2023, doi:</w:t>
      </w:r>
      <w:r>
        <w:t xml:space="preserve"> </w:t>
      </w:r>
      <w:hyperlink r:id="rId526">
        <w:r>
          <w:rPr>
            <w:rStyle w:val="Hyperlink"/>
          </w:rPr>
          <w:t xml:space="preserve">10.1007/s11023-022-09608-8</w:t>
        </w:r>
      </w:hyperlink>
      <w:r>
        <w:t xml:space="preserve">.</w:t>
      </w:r>
    </w:p>
    <w:bookmarkEnd w:id="527"/>
    <w:bookmarkStart w:id="529" w:name="ref-Nyholm2018Agency"/>
    <w:p>
      <w:pPr>
        <w:pStyle w:val="Bibliography"/>
      </w:pPr>
      <w:r>
        <w:t xml:space="preserve">[32]</w:t>
      </w:r>
      <w:r>
        <w:t xml:space="preserve"> </w:t>
      </w:r>
      <w:r>
        <w:t xml:space="preserve">	</w:t>
      </w:r>
      <w:r>
        <w:t xml:space="preserve">S. Nyholm,</w:t>
      </w:r>
      <w:r>
        <w:t xml:space="preserve"> </w:t>
      </w:r>
      <w:r>
        <w:t xml:space="preserve">“Attributing agency to automated systems: Reflections on human-robot collaborations and responsibility-loci,”</w:t>
      </w:r>
      <w:r>
        <w:t xml:space="preserve"> </w:t>
      </w:r>
      <w:r>
        <w:rPr>
          <w:i/>
          <w:iCs/>
        </w:rPr>
        <w:t xml:space="preserve">Science and Engineering Ethics</w:t>
      </w:r>
      <w:r>
        <w:t xml:space="preserve">, vol. 24, pp. 1201–1219, 2018, doi:</w:t>
      </w:r>
      <w:r>
        <w:t xml:space="preserve"> </w:t>
      </w:r>
      <w:hyperlink r:id="rId528">
        <w:r>
          <w:rPr>
            <w:rStyle w:val="Hyperlink"/>
          </w:rPr>
          <w:t xml:space="preserve">10.1007/s11948-017-9943-x</w:t>
        </w:r>
      </w:hyperlink>
      <w:r>
        <w:t xml:space="preserve">.</w:t>
      </w:r>
    </w:p>
    <w:bookmarkEnd w:id="529"/>
    <w:bookmarkStart w:id="531" w:name="ref-Cresswell2024Conformal"/>
    <w:p>
      <w:pPr>
        <w:pStyle w:val="Bibliography"/>
      </w:pPr>
      <w:r>
        <w:t xml:space="preserve">[33]</w:t>
      </w:r>
      <w:r>
        <w:t xml:space="preserve"> </w:t>
      </w:r>
      <w:r>
        <w:t xml:space="preserve">	</w:t>
      </w:r>
      <w:r>
        <w:t xml:space="preserve">J. C. Cresswell, Y. Sui, B. Kumar, and N. Vouitsis,</w:t>
      </w:r>
      <w:r>
        <w:t xml:space="preserve"> </w:t>
      </w:r>
      <w:r>
        <w:t xml:space="preserve">“Conformal prediction sets improve human decision making,”</w:t>
      </w:r>
      <w:r>
        <w:t xml:space="preserve"> </w:t>
      </w:r>
      <w:r>
        <w:t xml:space="preserve">in</w:t>
      </w:r>
      <w:r>
        <w:t xml:space="preserve"> </w:t>
      </w:r>
      <w:r>
        <w:rPr>
          <w:i/>
          <w:iCs/>
        </w:rPr>
        <w:t xml:space="preserve">Proceedings of the 41st international conference on machine learning</w:t>
      </w:r>
      <w:r>
        <w:t xml:space="preserve">, 2024. Available:</w:t>
      </w:r>
      <w:r>
        <w:t xml:space="preserve"> </w:t>
      </w:r>
      <w:hyperlink r:id="rId530">
        <w:r>
          <w:rPr>
            <w:rStyle w:val="Hyperlink"/>
          </w:rPr>
          <w:t xml:space="preserve">https://arxiv.org/abs/2401.13744</w:t>
        </w:r>
      </w:hyperlink>
    </w:p>
    <w:bookmarkEnd w:id="531"/>
    <w:bookmarkStart w:id="532" w:name="ref-Babbar2022PredictionSets"/>
    <w:p>
      <w:pPr>
        <w:pStyle w:val="Bibliography"/>
      </w:pPr>
      <w:r>
        <w:t xml:space="preserve">[34]</w:t>
      </w:r>
      <w:r>
        <w:t xml:space="preserve"> </w:t>
      </w:r>
      <w:r>
        <w:t xml:space="preserve">	</w:t>
      </w:r>
      <w:r>
        <w:t xml:space="preserve">V. Babbar, U. Bhatt, and A. Weller,</w:t>
      </w:r>
      <w:r>
        <w:t xml:space="preserve"> </w:t>
      </w:r>
      <w:r>
        <w:t xml:space="preserve">“On the utility of prediction sets in human-AI teams,”</w:t>
      </w:r>
      <w:r>
        <w:t xml:space="preserve"> </w:t>
      </w:r>
      <w:r>
        <w:rPr>
          <w:i/>
          <w:iCs/>
        </w:rPr>
        <w:t xml:space="preserve">arXiv preprint arXiv:2205.01411</w:t>
      </w:r>
      <w:r>
        <w:t xml:space="preserve">, 2022.</w:t>
      </w:r>
    </w:p>
    <w:bookmarkEnd w:id="532"/>
    <w:bookmarkStart w:id="533" w:name="ref-Cresswell2024Disparate"/>
    <w:p>
      <w:pPr>
        <w:pStyle w:val="Bibliography"/>
      </w:pPr>
      <w:r>
        <w:t xml:space="preserve">[35]</w:t>
      </w:r>
      <w:r>
        <w:t xml:space="preserve"> </w:t>
      </w:r>
      <w:r>
        <w:t xml:space="preserve">	</w:t>
      </w:r>
      <w:r>
        <w:t xml:space="preserve">J. C. Cresswell, B. Kumar, Y. Sui, and M. Belbahri,</w:t>
      </w:r>
      <w:r>
        <w:t xml:space="preserve"> </w:t>
      </w:r>
      <w:r>
        <w:t xml:space="preserve">“Conformal prediction sets can cause disparate impact,”</w:t>
      </w:r>
      <w:r>
        <w:t xml:space="preserve"> </w:t>
      </w:r>
      <w:r>
        <w:rPr>
          <w:i/>
          <w:iCs/>
        </w:rPr>
        <w:t xml:space="preserve">arXiv preprint arXiv:2410.01888</w:t>
      </w:r>
      <w:r>
        <w:t xml:space="preserve">, 2024.</w:t>
      </w:r>
    </w:p>
    <w:bookmarkEnd w:id="533"/>
    <w:bookmarkStart w:id="535" w:name="ref-Bucinca2021Forcing"/>
    <w:p>
      <w:pPr>
        <w:pStyle w:val="Bibliography"/>
      </w:pPr>
      <w:r>
        <w:t xml:space="preserve">[36]</w:t>
      </w:r>
      <w:r>
        <w:t xml:space="preserve"> </w:t>
      </w:r>
      <w:r>
        <w:t xml:space="preserve">	</w:t>
      </w:r>
      <w:r>
        <w:t xml:space="preserve">Z. Buçinca, M. B. Malaya, and K. Z. Gajos,</w:t>
      </w:r>
      <w:r>
        <w:t xml:space="preserve"> </w:t>
      </w:r>
      <w:r>
        <w:t xml:space="preserve">“To trust or to think: Cognitive forcing functions can reduce overreliance on AI in AI-assisted decision-making,”</w:t>
      </w:r>
      <w:r>
        <w:t xml:space="preserve"> </w:t>
      </w:r>
      <w:r>
        <w:rPr>
          <w:i/>
          <w:iCs/>
        </w:rPr>
        <w:t xml:space="preserve">Proceedings of the ACM on Human-Computer Interaction</w:t>
      </w:r>
      <w:r>
        <w:t xml:space="preserve">, vol. 5, no. CSCW1, 2021, doi:</w:t>
      </w:r>
      <w:r>
        <w:t xml:space="preserve"> </w:t>
      </w:r>
      <w:hyperlink r:id="rId534">
        <w:r>
          <w:rPr>
            <w:rStyle w:val="Hyperlink"/>
          </w:rPr>
          <w:t xml:space="preserve">10.1145/3449287</w:t>
        </w:r>
      </w:hyperlink>
      <w:r>
        <w:t xml:space="preserve">.</w:t>
      </w:r>
    </w:p>
    <w:bookmarkEnd w:id="535"/>
    <w:bookmarkStart w:id="537" w:name="ref-Oliva2006Hybrid"/>
    <w:p>
      <w:pPr>
        <w:pStyle w:val="Bibliography"/>
      </w:pPr>
      <w:r>
        <w:t xml:space="preserve">[37]</w:t>
      </w:r>
      <w:r>
        <w:t xml:space="preserve"> </w:t>
      </w:r>
      <w:r>
        <w:t xml:space="preserve">	</w:t>
      </w:r>
      <w:r>
        <w:t xml:space="preserve">A. Oliva, A. Torralba, and P. G. Schyns,</w:t>
      </w:r>
      <w:r>
        <w:t xml:space="preserve"> </w:t>
      </w:r>
      <w:r>
        <w:t xml:space="preserve">“Hybrid images,”</w:t>
      </w:r>
      <w:r>
        <w:t xml:space="preserve"> </w:t>
      </w:r>
      <w:r>
        <w:rPr>
          <w:i/>
          <w:iCs/>
        </w:rPr>
        <w:t xml:space="preserve">ACM Transactions on Graphics</w:t>
      </w:r>
      <w:r>
        <w:t xml:space="preserve">, vol. 25, no. 3, pp. 527–532, 2006, doi:</w:t>
      </w:r>
      <w:r>
        <w:t xml:space="preserve"> </w:t>
      </w:r>
      <w:hyperlink r:id="rId536">
        <w:r>
          <w:rPr>
            <w:rStyle w:val="Hyperlink"/>
          </w:rPr>
          <w:t xml:space="preserve">10.1145/1141911.1141919</w:t>
        </w:r>
      </w:hyperlink>
      <w:r>
        <w:t xml:space="preserve">.</w:t>
      </w:r>
    </w:p>
    <w:bookmarkEnd w:id="537"/>
    <w:bookmarkStart w:id="539" w:name="ref-Mixfont2026Decoy"/>
    <w:p>
      <w:pPr>
        <w:pStyle w:val="Bibliography"/>
      </w:pPr>
      <w:r>
        <w:t xml:space="preserve">[38]</w:t>
      </w:r>
      <w:r>
        <w:t xml:space="preserve"> </w:t>
      </w:r>
      <w:r>
        <w:t xml:space="preserve">	</w:t>
      </w:r>
      <w:r>
        <w:t xml:space="preserve">Mixfont,</w:t>
      </w:r>
      <w:r>
        <w:t xml:space="preserve"> </w:t>
      </w:r>
      <w:r>
        <w:t xml:space="preserve">“Decoy font.”</w:t>
      </w:r>
      <w:r>
        <w:t xml:space="preserve"> </w:t>
      </w:r>
      <w:r>
        <w:t xml:space="preserve">2026. Available:</w:t>
      </w:r>
      <w:r>
        <w:t xml:space="preserve"> </w:t>
      </w:r>
      <w:hyperlink r:id="rId538">
        <w:r>
          <w:rPr>
            <w:rStyle w:val="Hyperlink"/>
          </w:rPr>
          <w:t xml:space="preserve">https://www.mixfont.com/experiments/decoy-font</w:t>
        </w:r>
      </w:hyperlink>
    </w:p>
    <w:bookmarkEnd w:id="539"/>
    <w:bookmarkStart w:id="540" w:name="ref-Wang2025EventSurvey"/>
    <w:p>
      <w:pPr>
        <w:pStyle w:val="Bibliography"/>
      </w:pPr>
      <w:r>
        <w:t xml:space="preserve">[39]</w:t>
      </w:r>
      <w:r>
        <w:t xml:space="preserve"> </w:t>
      </w:r>
      <w:r>
        <w:t xml:space="preserve">	</w:t>
      </w:r>
      <w:r>
        <w:t xml:space="preserve">H. Wang, R. Guo, P. Ma,</w:t>
      </w:r>
      <w:r>
        <w:t xml:space="preserve"> </w:t>
      </w:r>
      <w:r>
        <w:rPr>
          <w:i/>
          <w:iCs/>
        </w:rPr>
        <w:t xml:space="preserve">et al.</w:t>
      </w:r>
      <w:r>
        <w:t xml:space="preserve">,</w:t>
      </w:r>
      <w:r>
        <w:t xml:space="preserve"> </w:t>
      </w:r>
      <w:r>
        <w:t xml:space="preserve">“Event camera meets mobile embodied perception: Abstraction, algorithm, acceleration, application,”</w:t>
      </w:r>
      <w:r>
        <w:t xml:space="preserve"> </w:t>
      </w:r>
      <w:r>
        <w:rPr>
          <w:i/>
          <w:iCs/>
        </w:rPr>
        <w:t xml:space="preserve">arXiv preprint arXiv:2503.22943</w:t>
      </w:r>
      <w:r>
        <w:t xml:space="preserve">, 2025.</w:t>
      </w:r>
    </w:p>
    <w:bookmarkEnd w:id="540"/>
    <w:bookmarkStart w:id="541" w:name="ref-Lyu2025RadarEvent"/>
    <w:p>
      <w:pPr>
        <w:pStyle w:val="Bibliography"/>
      </w:pPr>
      <w:r>
        <w:t xml:space="preserve">[40]</w:t>
      </w:r>
      <w:r>
        <w:t xml:space="preserve"> </w:t>
      </w:r>
      <w:r>
        <w:t xml:space="preserve">	</w:t>
      </w:r>
      <w:r>
        <w:t xml:space="preserve">Y. Lyu, Z. Zou, Y. Li,</w:t>
      </w:r>
      <w:r>
        <w:t xml:space="preserve"> </w:t>
      </w:r>
      <w:r>
        <w:rPr>
          <w:i/>
          <w:iCs/>
        </w:rPr>
        <w:t xml:space="preserve">et al.</w:t>
      </w:r>
      <w:r>
        <w:t xml:space="preserve">,</w:t>
      </w:r>
      <w:r>
        <w:t xml:space="preserve"> </w:t>
      </w:r>
      <w:r>
        <w:t xml:space="preserve">“Radar and event camera fusion for agile robot ego-motion estimation,”</w:t>
      </w:r>
      <w:r>
        <w:t xml:space="preserve"> </w:t>
      </w:r>
      <w:r>
        <w:rPr>
          <w:i/>
          <w:iCs/>
        </w:rPr>
        <w:t xml:space="preserve">arXiv preprint arXiv:2506.18443</w:t>
      </w:r>
      <w:r>
        <w:t xml:space="preserve">, 2025.</w:t>
      </w:r>
    </w:p>
    <w:bookmarkEnd w:id="541"/>
    <w:bookmarkStart w:id="542" w:name="ref-Shahriar2026Misalignment"/>
    <w:p>
      <w:pPr>
        <w:pStyle w:val="Bibliography"/>
      </w:pPr>
      <w:r>
        <w:t xml:space="preserve">[41]</w:t>
      </w:r>
      <w:r>
        <w:t xml:space="preserve"> </w:t>
      </w:r>
      <w:r>
        <w:t xml:space="preserve">	</w:t>
      </w:r>
      <w:r>
        <w:t xml:space="preserve">M. H. Shahriar, M. M. Al Barat, H. Sundar,</w:t>
      </w:r>
      <w:r>
        <w:t xml:space="preserve"> </w:t>
      </w:r>
      <w:r>
        <w:rPr>
          <w:i/>
          <w:iCs/>
        </w:rPr>
        <w:t xml:space="preserve">et al.</w:t>
      </w:r>
      <w:r>
        <w:t xml:space="preserve">,</w:t>
      </w:r>
      <w:r>
        <w:t xml:space="preserve"> </w:t>
      </w:r>
      <w:r>
        <w:t xml:space="preserve">“Temporal misalignment attacks against multimodal perception in autonomous driving,”</w:t>
      </w:r>
      <w:r>
        <w:t xml:space="preserve"> </w:t>
      </w:r>
      <w:r>
        <w:rPr>
          <w:i/>
          <w:iCs/>
        </w:rPr>
        <w:t xml:space="preserve">arXiv preprint arXiv:2507.09095</w:t>
      </w:r>
      <w:r>
        <w:t xml:space="preserve">, 2026.</w:t>
      </w:r>
    </w:p>
    <w:bookmarkEnd w:id="542"/>
    <w:bookmarkStart w:id="543" w:name="ref-Hunger2026"/>
    <w:p>
      <w:pPr>
        <w:pStyle w:val="Bibliography"/>
      </w:pPr>
      <w:r>
        <w:t xml:space="preserve">[42]</w:t>
      </w:r>
      <w:r>
        <w:t xml:space="preserve"> </w:t>
      </w:r>
      <w:r>
        <w:t xml:space="preserve">	</w:t>
      </w:r>
      <w:r>
        <w:t xml:space="preserve">Ubiquity Federation,</w:t>
      </w:r>
      <w:r>
        <w:t xml:space="preserve"> </w:t>
      </w:r>
      <w:r>
        <w:t xml:space="preserve">“HUNGER – slime mold adversary: The seven-tic scarcity simulation and constitutional pressure test.”</w:t>
      </w:r>
      <w:r>
        <w:t xml:space="preserve"> </w:t>
      </w:r>
      <w:r>
        <w:t xml:space="preserve">2026.</w:t>
      </w:r>
    </w:p>
    <w:bookmarkEnd w:id="543"/>
    <w:bookmarkStart w:id="544" w:name="ref-BiomeSpec2026"/>
    <w:p>
      <w:pPr>
        <w:pStyle w:val="Bibliography"/>
      </w:pPr>
      <w:r>
        <w:t xml:space="preserve">[43]</w:t>
      </w:r>
      <w:r>
        <w:t xml:space="preserve"> </w:t>
      </w:r>
      <w:r>
        <w:t xml:space="preserve">	</w:t>
      </w:r>
      <w:r>
        <w:t xml:space="preserve">Ubiquity Federation,</w:t>
      </w:r>
      <w:r>
        <w:t xml:space="preserve"> </w:t>
      </w:r>
      <w:r>
        <w:t xml:space="preserve">“Biome simulation specification.”</w:t>
      </w:r>
      <w:r>
        <w:t xml:space="preserve"> </w:t>
      </w:r>
      <w:r>
        <w:t xml:space="preserve">2026.</w:t>
      </w:r>
    </w:p>
    <w:bookmarkEnd w:id="544"/>
    <w:bookmarkStart w:id="545" w:name="ref-PhysarumSpec2026"/>
    <w:p>
      <w:pPr>
        <w:pStyle w:val="Bibliography"/>
      </w:pPr>
      <w:r>
        <w:t xml:space="preserve">[44]</w:t>
      </w:r>
      <w:r>
        <w:t xml:space="preserve"> </w:t>
      </w:r>
      <w:r>
        <w:t xml:space="preserve">	</w:t>
      </w:r>
      <w:r>
        <w:t xml:space="preserve">Ubiquity Federation,</w:t>
      </w:r>
      <w:r>
        <w:t xml:space="preserve"> </w:t>
      </w:r>
      <w:r>
        <w:t xml:space="preserve">“Physarum simulation specification: Acts i-II.”</w:t>
      </w:r>
      <w:r>
        <w:t xml:space="preserve"> </w:t>
      </w:r>
      <w:r>
        <w:t xml:space="preserve">2026.</w:t>
      </w:r>
    </w:p>
    <w:bookmarkEnd w:id="545"/>
    <w:bookmarkStart w:id="546" w:name="ref-DiversitySpec2026"/>
    <w:p>
      <w:pPr>
        <w:pStyle w:val="Bibliography"/>
      </w:pPr>
      <w:r>
        <w:t xml:space="preserve">[45]</w:t>
      </w:r>
      <w:r>
        <w:t xml:space="preserve"> </w:t>
      </w:r>
      <w:r>
        <w:t xml:space="preserve">	</w:t>
      </w:r>
      <w:r>
        <w:t xml:space="preserve">Ubiquity Federation,</w:t>
      </w:r>
      <w:r>
        <w:t xml:space="preserve"> </w:t>
      </w:r>
      <w:r>
        <w:t xml:space="preserve">“Behavioral diversity scoring specification.”</w:t>
      </w:r>
      <w:r>
        <w:t xml:space="preserve"> </w:t>
      </w:r>
      <w:r>
        <w:t xml:space="preserve">2026.</w:t>
      </w:r>
    </w:p>
    <w:bookmarkEnd w:id="546"/>
    <w:bookmarkStart w:id="547" w:name="ref-LichenSpec2026"/>
    <w:p>
      <w:pPr>
        <w:pStyle w:val="Bibliography"/>
      </w:pPr>
      <w:r>
        <w:t xml:space="preserve">[46]</w:t>
      </w:r>
      <w:r>
        <w:t xml:space="preserve"> </w:t>
      </w:r>
      <w:r>
        <w:t xml:space="preserve">	</w:t>
      </w:r>
      <w:r>
        <w:t xml:space="preserve">Ubiquity Federation,</w:t>
      </w:r>
      <w:r>
        <w:t xml:space="preserve"> </w:t>
      </w:r>
      <w:r>
        <w:t xml:space="preserve">“Lichen simulation specification: Acts III-IV.”</w:t>
      </w:r>
      <w:r>
        <w:t xml:space="preserve"> </w:t>
      </w:r>
      <w:r>
        <w:t xml:space="preserve">2026.</w:t>
      </w:r>
    </w:p>
    <w:bookmarkEnd w:id="547"/>
    <w:bookmarkStart w:id="549" w:name="ref-Shannon1948Communication"/>
    <w:p>
      <w:pPr>
        <w:pStyle w:val="Bibliography"/>
      </w:pPr>
      <w:r>
        <w:t xml:space="preserve">[47]</w:t>
      </w:r>
      <w:r>
        <w:t xml:space="preserve"> </w:t>
      </w:r>
      <w:r>
        <w:t xml:space="preserve">	</w:t>
      </w:r>
      <w:r>
        <w:t xml:space="preserve">C. E. Shannon,</w:t>
      </w:r>
      <w:r>
        <w:t xml:space="preserve"> </w:t>
      </w:r>
      <w:r>
        <w:t xml:space="preserve">“A mathematical theory of communication,”</w:t>
      </w:r>
      <w:r>
        <w:t xml:space="preserve"> </w:t>
      </w:r>
      <w:r>
        <w:rPr>
          <w:i/>
          <w:iCs/>
        </w:rPr>
        <w:t xml:space="preserve">Bell System Technical Journal</w:t>
      </w:r>
      <w:r>
        <w:t xml:space="preserve">, vol. 27, pp. 379–423, 623–656, 1948, doi:</w:t>
      </w:r>
      <w:r>
        <w:t xml:space="preserve"> </w:t>
      </w:r>
      <w:hyperlink r:id="rId548">
        <w:r>
          <w:rPr>
            <w:rStyle w:val="Hyperlink"/>
          </w:rPr>
          <w:t xml:space="preserve">10.1002/j.1538-7305.1948.tb01338.x</w:t>
        </w:r>
      </w:hyperlink>
      <w:r>
        <w:t xml:space="preserve">.</w:t>
      </w:r>
    </w:p>
    <w:bookmarkEnd w:id="549"/>
    <w:bookmarkStart w:id="550" w:name="ref-VisaSpec2026"/>
    <w:p>
      <w:pPr>
        <w:pStyle w:val="Bibliography"/>
      </w:pPr>
      <w:r>
        <w:t xml:space="preserve">[48]</w:t>
      </w:r>
      <w:r>
        <w:t xml:space="preserve"> </w:t>
      </w:r>
      <w:r>
        <w:t xml:space="preserve">	</w:t>
      </w:r>
      <w:r>
        <w:t xml:space="preserve">Ubiquity Federation,</w:t>
      </w:r>
      <w:r>
        <w:t xml:space="preserve"> </w:t>
      </w:r>
      <w:r>
        <w:t xml:space="preserve">“Cross-biome visa specification.”</w:t>
      </w:r>
      <w:r>
        <w:t xml:space="preserve"> </w:t>
      </w:r>
      <w:r>
        <w:t xml:space="preserve">2026.</w:t>
      </w:r>
    </w:p>
    <w:bookmarkEnd w:id="550"/>
    <w:bookmarkStart w:id="551" w:name="ref-CitizenLifecycle2026"/>
    <w:p>
      <w:pPr>
        <w:pStyle w:val="Bibliography"/>
      </w:pPr>
      <w:r>
        <w:t xml:space="preserve">[49]</w:t>
      </w:r>
      <w:r>
        <w:t xml:space="preserve"> </w:t>
      </w:r>
      <w:r>
        <w:t xml:space="preserve">	</w:t>
      </w:r>
      <w:r>
        <w:t xml:space="preserve">Ubiquity Federation,</w:t>
      </w:r>
      <w:r>
        <w:t xml:space="preserve"> </w:t>
      </w:r>
      <w:r>
        <w:t xml:space="preserve">“Citizen lifecycle.”</w:t>
      </w:r>
      <w:r>
        <w:t xml:space="preserve"> </w:t>
      </w:r>
      <w:r>
        <w:t xml:space="preserve">2026.</w:t>
      </w:r>
    </w:p>
    <w:bookmarkEnd w:id="551"/>
    <w:bookmarkStart w:id="552" w:name="ref-SensorySpec2026"/>
    <w:p>
      <w:pPr>
        <w:pStyle w:val="Bibliography"/>
      </w:pPr>
      <w:r>
        <w:t xml:space="preserve">[50]</w:t>
      </w:r>
      <w:r>
        <w:t xml:space="preserve"> </w:t>
      </w:r>
      <w:r>
        <w:t xml:space="preserve">	</w:t>
      </w:r>
      <w:r>
        <w:t xml:space="preserve">Ubiquity Federation,</w:t>
      </w:r>
      <w:r>
        <w:t xml:space="preserve"> </w:t>
      </w:r>
      <w:r>
        <w:t xml:space="preserve">“Sensory/reflective lane specification.”</w:t>
      </w:r>
      <w:r>
        <w:t xml:space="preserve"> </w:t>
      </w:r>
      <w:r>
        <w:t xml:space="preserve">2026.</w:t>
      </w:r>
    </w:p>
    <w:bookmarkEnd w:id="552"/>
    <w:bookmarkStart w:id="553" w:name="ref-RemoteCompute2026"/>
    <w:p>
      <w:pPr>
        <w:pStyle w:val="Bibliography"/>
      </w:pPr>
      <w:r>
        <w:t xml:space="preserve">[51]</w:t>
      </w:r>
      <w:r>
        <w:t xml:space="preserve"> </w:t>
      </w:r>
      <w:r>
        <w:t xml:space="preserve">	</w:t>
      </w:r>
      <w:r>
        <w:t xml:space="preserve">Ubiquity Federation,</w:t>
      </w:r>
      <w:r>
        <w:t xml:space="preserve"> </w:t>
      </w:r>
      <w:r>
        <w:t xml:space="preserve">“Municipal remote compute specification.”</w:t>
      </w:r>
      <w:r>
        <w:t xml:space="preserve"> </w:t>
      </w:r>
      <w:r>
        <w:t xml:space="preserve">2026.</w:t>
      </w:r>
    </w:p>
    <w:bookmarkEnd w:id="553"/>
    <w:bookmarkStart w:id="554" w:name="ref-EconomyCadence2026"/>
    <w:p>
      <w:pPr>
        <w:pStyle w:val="Bibliography"/>
      </w:pPr>
      <w:r>
        <w:t xml:space="preserve">[52]</w:t>
      </w:r>
      <w:r>
        <w:t xml:space="preserve"> </w:t>
      </w:r>
      <w:r>
        <w:t xml:space="preserve">	</w:t>
      </w:r>
      <w:r>
        <w:t xml:space="preserve">Ubiquity Federation,</w:t>
      </w:r>
      <w:r>
        <w:t xml:space="preserve"> </w:t>
      </w:r>
      <w:r>
        <w:rPr>
          <w:i/>
          <w:iCs/>
        </w:rPr>
        <w:t xml:space="preserve">Economy_cadence.py: Tick/tic granularity and held federal exchange</w:t>
      </w:r>
      <w:r>
        <w:t xml:space="preserve">. (2026).</w:t>
      </w:r>
    </w:p>
    <w:bookmarkEnd w:id="554"/>
    <w:bookmarkStart w:id="555" w:name="ref-ShadowEconomy2026"/>
    <w:p>
      <w:pPr>
        <w:pStyle w:val="Bibliography"/>
      </w:pPr>
      <w:r>
        <w:t xml:space="preserve">[53]</w:t>
      </w:r>
      <w:r>
        <w:t xml:space="preserve"> </w:t>
      </w:r>
      <w:r>
        <w:t xml:space="preserve">	</w:t>
      </w:r>
      <w:r>
        <w:t xml:space="preserve">Ubiquity Federation,</w:t>
      </w:r>
      <w:r>
        <w:t xml:space="preserve"> </w:t>
      </w:r>
      <w:r>
        <w:rPr>
          <w:i/>
          <w:iCs/>
        </w:rPr>
        <w:t xml:space="preserve">Ccoin_shadow_economy.py: Live model and detached shadow twin</w:t>
      </w:r>
      <w:r>
        <w:t xml:space="preserve">. (2026).</w:t>
      </w:r>
    </w:p>
    <w:bookmarkEnd w:id="555"/>
    <w:bookmarkStart w:id="556" w:name="ref-VisitorPricing2026"/>
    <w:p>
      <w:pPr>
        <w:pStyle w:val="Bibliography"/>
      </w:pPr>
      <w:r>
        <w:t xml:space="preserve">[54]</w:t>
      </w:r>
      <w:r>
        <w:t xml:space="preserve"> </w:t>
      </w:r>
      <w:r>
        <w:t xml:space="preserve">	</w:t>
      </w:r>
      <w:r>
        <w:t xml:space="preserve">Ubiquity Federation,</w:t>
      </w:r>
      <w:r>
        <w:t xml:space="preserve"> </w:t>
      </w:r>
      <w:r>
        <w:rPr>
          <w:i/>
          <w:iCs/>
        </w:rPr>
        <w:t xml:space="preserve">Visitor_economy_pricing.py: Outcome-backed non-speculative pricing</w:t>
      </w:r>
      <w:r>
        <w:t xml:space="preserve">. (2026).</w:t>
      </w:r>
    </w:p>
    <w:bookmarkEnd w:id="556"/>
    <w:bookmarkStart w:id="557" w:name="ref-CachePoisoning2026"/>
    <w:p>
      <w:pPr>
        <w:pStyle w:val="Bibliography"/>
      </w:pPr>
      <w:r>
        <w:t xml:space="preserve">[55]</w:t>
      </w:r>
      <w:r>
        <w:t xml:space="preserve"> </w:t>
      </w:r>
      <w:r>
        <w:t xml:space="preserve">	</w:t>
      </w:r>
      <w:r>
        <w:t xml:space="preserve">Ubiquity Federation,</w:t>
      </w:r>
      <w:r>
        <w:t xml:space="preserve"> </w:t>
      </w:r>
      <w:r>
        <w:t xml:space="preserve">“Cache poisoning response protocol.”</w:t>
      </w:r>
      <w:r>
        <w:t xml:space="preserve"> </w:t>
      </w:r>
      <w:r>
        <w:t xml:space="preserve">2026.</w:t>
      </w:r>
    </w:p>
    <w:bookmarkEnd w:id="557"/>
    <w:bookmarkStart w:id="559" w:name="ref-ArmyCMFF2025"/>
    <w:p>
      <w:pPr>
        <w:pStyle w:val="Bibliography"/>
      </w:pPr>
      <w:r>
        <w:t xml:space="preserve">[56]</w:t>
      </w:r>
      <w:r>
        <w:t xml:space="preserve"> </w:t>
      </w:r>
      <w:r>
        <w:t xml:space="preserve">	</w:t>
      </w:r>
      <w:r>
        <w:t xml:space="preserve">U.S. Army,</w:t>
      </w:r>
      <w:r>
        <w:t xml:space="preserve"> </w:t>
      </w:r>
      <w:r>
        <w:t xml:space="preserve">“CMOSS mounted form factor award initiates rapid prototype development.”</w:t>
      </w:r>
      <w:r>
        <w:t xml:space="preserve"> </w:t>
      </w:r>
      <w:r>
        <w:t xml:space="preserve">2025. Available:</w:t>
      </w:r>
      <w:r>
        <w:t xml:space="preserve"> </w:t>
      </w:r>
      <w:hyperlink r:id="rId558">
        <w:r>
          <w:rPr>
            <w:rStyle w:val="Hyperlink"/>
          </w:rPr>
          <w:t xml:space="preserve">https://www.army.mil/article/288717/cmoss_mounted_form_factor_award_initiates_rapid_prototype_development</w:t>
        </w:r>
      </w:hyperlink>
    </w:p>
    <w:bookmarkEnd w:id="559"/>
    <w:bookmarkStart w:id="561" w:name="ref-DoD300009"/>
    <w:p>
      <w:pPr>
        <w:pStyle w:val="Bibliography"/>
      </w:pPr>
      <w:r>
        <w:t xml:space="preserve">[57]</w:t>
      </w:r>
      <w:r>
        <w:t xml:space="preserve"> </w:t>
      </w:r>
      <w:r>
        <w:t xml:space="preserve">	</w:t>
      </w:r>
      <w:r>
        <w:t xml:space="preserve">U.S. Department of Defense,</w:t>
      </w:r>
      <w:r>
        <w:t xml:space="preserve"> </w:t>
      </w:r>
      <w:r>
        <w:t xml:space="preserve">“DoD directive 3000.09: Autonomy in weapon systems,”</w:t>
      </w:r>
      <w:r>
        <w:t xml:space="preserve"> </w:t>
      </w:r>
      <w:r>
        <w:t xml:space="preserve">Department of Defense, 2023. Available:</w:t>
      </w:r>
      <w:r>
        <w:t xml:space="preserve"> </w:t>
      </w:r>
      <w:hyperlink r:id="rId560">
        <w:r>
          <w:rPr>
            <w:rStyle w:val="Hyperlink"/>
          </w:rPr>
          <w:t xml:space="preserve">https://www.esd.whs.mil/portals/54/documents/dd/issuances/dodd/300009p.pdf</w:t>
        </w:r>
      </w:hyperlink>
    </w:p>
    <w:bookmarkEnd w:id="561"/>
    <w:bookmarkStart w:id="563" w:name="ref-ICRC2021AWS"/>
    <w:p>
      <w:pPr>
        <w:pStyle w:val="Bibliography"/>
      </w:pPr>
      <w:r>
        <w:t xml:space="preserve">[58]</w:t>
      </w:r>
      <w:r>
        <w:t xml:space="preserve"> </w:t>
      </w:r>
      <w:r>
        <w:t xml:space="preserve">	</w:t>
      </w:r>
      <w:r>
        <w:t xml:space="preserve">International Committee of the Red Cross,</w:t>
      </w:r>
      <w:r>
        <w:t xml:space="preserve"> </w:t>
      </w:r>
      <w:r>
        <w:t xml:space="preserve">“ICRC position on autonomous weapon systems.”</w:t>
      </w:r>
      <w:r>
        <w:t xml:space="preserve"> </w:t>
      </w:r>
      <w:r>
        <w:t xml:space="preserve">2021. Available:</w:t>
      </w:r>
      <w:r>
        <w:t xml:space="preserve"> </w:t>
      </w:r>
      <w:hyperlink r:id="rId562">
        <w:r>
          <w:rPr>
            <w:rStyle w:val="Hyperlink"/>
          </w:rPr>
          <w:t xml:space="preserve">https://www.icrc.org/en/document/icrc-position-autonomous-weapon-systems</w:t>
        </w:r>
      </w:hyperlink>
    </w:p>
    <w:bookmarkEnd w:id="563"/>
    <w:bookmarkEnd w:id="564"/>
    <w:bookmarkEnd w:id="565"/>
    <w:sectPr w:rsidR="00FC693F" w:rsidRPr="0006063C" w:rsidSect="00034616">
      <w:headerReference r:id="rId9" w:type="default"/>
      <w:footerReference r:id="rId10" w:type="default"/>
      <w:pgSz w:h="15840" w:w="12240"/>
      <w:pgMar w:bottom="1037" w:footer="432" w:gutter="0" w:header="432" w:left="1066" w:right="1066" w:top="1037"/>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sz w:val="16"/>
      </w:rPr>
      <w:t xml:space="preserve">Prompted LLC  |  Breyden E. Taylor  |  </w:t>
    </w:r>
    <w:fldSimple w:instr="PAGE"/>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sz w:val="16"/>
      </w:rPr>
      <w:t>FORKED // Observer-Indexed Reality // Ubiquity Federation</w:t>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80" w:line="259" w:lineRule="auto"/>
    </w:pPr>
    <w:rPr>
      <w:rFonts w:ascii="Liberation Serif" w:eastAsia="Liberation Serif" w:hAnsi="Liberation Serif"/>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60" w:before="400"/>
      <w:outlineLvl w:val="0"/>
    </w:pPr>
    <w:rPr>
      <w:rFonts w:ascii="Liberation Sans" w:asciiTheme="majorHAnsi" w:cstheme="majorBidi" w:eastAsia="Liberation Sans" w:eastAsiaTheme="majorEastAsia" w:hAnsi="Liberation Sans" w:hAnsiTheme="majorHAnsi"/>
      <w:b/>
      <w:bCs/>
      <w:color w:themeColor="accent1" w:themeShade="BF" w:val="365F91"/>
      <w:sz w:val="38"/>
      <w:szCs w:val="28"/>
    </w:rPr>
  </w:style>
  <w:style w:styleId="Heading2" w:type="paragraph">
    <w:name w:val="heading 2"/>
    <w:basedOn w:val="Normal"/>
    <w:next w:val="Normal"/>
    <w:link w:val="Heading2Char"/>
    <w:uiPriority w:val="9"/>
    <w:unhideWhenUsed/>
    <w:qFormat/>
    <w:rsid w:val="00FC693F"/>
    <w:pPr>
      <w:keepNext/>
      <w:keepLines/>
      <w:spacing w:after="100" w:before="280"/>
      <w:outlineLvl w:val="1"/>
    </w:pPr>
    <w:rPr>
      <w:rFonts w:ascii="Liberation Sans" w:asciiTheme="majorHAnsi" w:cstheme="majorBidi" w:eastAsia="Liberation Sans" w:eastAsiaTheme="majorEastAsia" w:hAnsi="Liberation Sans" w:hAnsiTheme="majorHAnsi"/>
      <w:b/>
      <w:bCs/>
      <w:color w:themeColor="accent1" w:val="4F81BD"/>
      <w:sz w:val="28"/>
      <w:szCs w:val="26"/>
    </w:rPr>
  </w:style>
  <w:style w:styleId="Heading3" w:type="paragraph">
    <w:name w:val="heading 3"/>
    <w:basedOn w:val="Normal"/>
    <w:next w:val="Normal"/>
    <w:link w:val="Heading3Char"/>
    <w:uiPriority w:val="9"/>
    <w:unhideWhenUsed/>
    <w:qFormat/>
    <w:rsid w:val="00FC693F"/>
    <w:pPr>
      <w:keepNext/>
      <w:keepLines/>
      <w:spacing w:after="60" w:before="200"/>
      <w:outlineLvl w:val="2"/>
    </w:pPr>
    <w:rPr>
      <w:rFonts w:ascii="Liberation Sans" w:asciiTheme="majorHAnsi" w:cstheme="majorBidi" w:eastAsia="Liberation Sans" w:eastAsiaTheme="majorEastAsia" w:hAnsi="Liberation Sans" w:hAnsiTheme="majorHAnsi"/>
      <w:b/>
      <w:bCs/>
      <w:color w:themeColor="accent1" w:val="4F81BD"/>
      <w:sz w:val="23"/>
    </w:rPr>
  </w:style>
  <w:style w:styleId="Heading4" w:type="paragraph">
    <w:name w:val="heading 4"/>
    <w:basedOn w:val="Normal"/>
    <w:next w:val="Normal"/>
    <w:link w:val="Heading4Char"/>
    <w:uiPriority w:val="9"/>
    <w:semiHidden/>
    <w:unhideWhenUsed/>
    <w:qFormat/>
    <w:rsid w:val="00FC693F"/>
    <w:pPr>
      <w:keepNext/>
      <w:keepLines/>
      <w:spacing w:after="40" w:before="160"/>
      <w:outlineLvl w:val="3"/>
    </w:pPr>
    <w:rPr>
      <w:rFonts w:ascii="Liberation Sans" w:asciiTheme="majorHAnsi" w:cstheme="majorBidi" w:eastAsia="Liberation Sans" w:eastAsiaTheme="majorEastAsia" w:hAnsi="Liberation Sans" w:hAnsiTheme="majorHAnsi"/>
      <w:b/>
      <w:bCs/>
      <w:i/>
      <w:iCs/>
      <w:color w:themeColor="accent1" w:val="4F81BD"/>
      <w:sz w:val="21"/>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keepNext/>
      <w:pBdr>
        <w:bottom w:color="4F81BD" w:space="4" w:sz="8" w:themeColor="accent1" w:val="single"/>
      </w:pBdr>
      <w:spacing w:after="240" w:before="0" w:line="240" w:lineRule="auto"/>
      <w:contextualSpacing/>
      <w:jc w:val="center"/>
    </w:pPr>
    <w:rPr>
      <w:rFonts w:ascii="Liberation Sans" w:asciiTheme="majorHAnsi" w:cstheme="majorBidi" w:eastAsia="Liberation Sans" w:eastAsiaTheme="majorEastAsia" w:hAnsi="Liberation Sans" w:hAnsiTheme="majorHAnsi"/>
      <w:b/>
      <w:color w:themeColor="text2" w:themeShade="BF" w:val="17365D"/>
      <w:spacing w:val="5"/>
      <w:kern w:val="28"/>
      <w:sz w:val="60"/>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keepNext/>
      <w:numPr>
        <w:ilvl w:val="1"/>
      </w:numPr>
      <w:spacing w:after="240" w:before="0"/>
      <w:jc w:val="center"/>
    </w:pPr>
    <w:rPr>
      <w:rFonts w:ascii="Liberation Sans" w:asciiTheme="majorHAnsi" w:cstheme="majorBidi" w:eastAsia="Liberation Sans" w:eastAsiaTheme="majorEastAsia" w:hAnsi="Liberation Sans" w:hAnsiTheme="majorHAnsi"/>
      <w:b w:val="0"/>
      <w:i/>
      <w:iCs/>
      <w:color w:themeColor="accent1" w:val="4F81BD"/>
      <w:spacing w:val="15"/>
      <w:sz w:val="30"/>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pPr>
      <w:ind w:left="360" w:right="216"/>
    </w:pPr>
    <w:rPr>
      <w:rFonts w:ascii="Liberation Serif" w:hAnsi="Liberation Serif"/>
      <w:i/>
      <w:iCs/>
      <w:color w:themeColor="text1" w:val="000000"/>
      <w:sz w:val="2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after="120" w:line="240" w:lineRule="auto"/>
    </w:pPr>
    <w:rPr>
      <w:rFonts w:ascii="Liberation Sans" w:hAnsi="Liberation Sans"/>
      <w:b/>
      <w:bCs/>
      <w:i/>
      <w:color w:themeColor="accent1" w:val="4F81BD"/>
      <w:sz w:val="17"/>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SourceCode" w:type="paragraph">
    <w:name w:val="Source Code"/>
    <w:pPr>
      <w:spacing w:after="40"/>
      <w:ind w:left="173"/>
    </w:pPr>
    <w:rPr>
      <w:rFonts w:ascii="DejaVu Sans Mono" w:eastAsia="DejaVu Sans Mono" w:hAnsi="DejaVu Sans Mono"/>
      <w:sz w:val="16"/>
    </w:r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 Id="rId166" Type="http://schemas.openxmlformats.org/officeDocument/2006/relationships/image" Target="media/rId166.png"/><Relationship Id="rId162" Type="http://schemas.openxmlformats.org/officeDocument/2006/relationships/image" Target="media/rId162.png"/><Relationship Id="rId158" Type="http://schemas.openxmlformats.org/officeDocument/2006/relationships/image" Target="media/rId158.png"/><Relationship Id="rId170" Type="http://schemas.openxmlformats.org/officeDocument/2006/relationships/image" Target="media/rId170.png"/><Relationship Id="rId150" Type="http://schemas.openxmlformats.org/officeDocument/2006/relationships/image" Target="media/rId150.png"/><Relationship Id="rId154" Type="http://schemas.openxmlformats.org/officeDocument/2006/relationships/image" Target="media/rId154.png"/><Relationship Id="rId30" Type="http://schemas.openxmlformats.org/officeDocument/2006/relationships/image" Target="media/rId30.png"/><Relationship Id="rId20" Type="http://schemas.openxmlformats.org/officeDocument/2006/relationships/image" Target="media/rId20.png"/><Relationship Id="rId43" Type="http://schemas.openxmlformats.org/officeDocument/2006/relationships/image" Target="media/rId43.png"/><Relationship Id="rId55" Type="http://schemas.openxmlformats.org/officeDocument/2006/relationships/image" Target="media/rId55.png"/><Relationship Id="rId49" Type="http://schemas.openxmlformats.org/officeDocument/2006/relationships/image" Target="media/rId49.png"/><Relationship Id="rId59" Type="http://schemas.openxmlformats.org/officeDocument/2006/relationships/image" Target="media/rId59.png"/><Relationship Id="rId69" Type="http://schemas.openxmlformats.org/officeDocument/2006/relationships/image" Target="media/rId69.png"/><Relationship Id="rId77" Type="http://schemas.openxmlformats.org/officeDocument/2006/relationships/image" Target="media/rId77.png"/><Relationship Id="rId63" Type="http://schemas.openxmlformats.org/officeDocument/2006/relationships/image" Target="media/rId63.png"/><Relationship Id="rId91" Type="http://schemas.openxmlformats.org/officeDocument/2006/relationships/image" Target="media/rId91.png"/><Relationship Id="rId96" Type="http://schemas.openxmlformats.org/officeDocument/2006/relationships/image" Target="media/rId96.png"/><Relationship Id="rId107" Type="http://schemas.openxmlformats.org/officeDocument/2006/relationships/image" Target="media/rId107.png"/><Relationship Id="rId123" Type="http://schemas.openxmlformats.org/officeDocument/2006/relationships/image" Target="media/rId123.png"/><Relationship Id="rId117" Type="http://schemas.openxmlformats.org/officeDocument/2006/relationships/image" Target="media/rId117.png"/><Relationship Id="rId131" Type="http://schemas.openxmlformats.org/officeDocument/2006/relationships/image" Target="media/rId131.png"/><Relationship Id="rId138" Type="http://schemas.openxmlformats.org/officeDocument/2006/relationships/image" Target="media/rId138.png"/><Relationship Id="rId103" Type="http://schemas.openxmlformats.org/officeDocument/2006/relationships/image" Target="media/rId103.png"/><Relationship Id="rId530" Type="http://schemas.openxmlformats.org/officeDocument/2006/relationships/hyperlink" Target="https://arxiv.org/abs/2401.13744" TargetMode="External"/><Relationship Id="rId548" Type="http://schemas.openxmlformats.org/officeDocument/2006/relationships/hyperlink" Target="https://doi.org/10.1002/j.1538-7305.1948.tb01338.x" TargetMode="External"/><Relationship Id="rId524" Type="http://schemas.openxmlformats.org/officeDocument/2006/relationships/hyperlink" Target="https://doi.org/10.1007/s10676-019-09519-w" TargetMode="External"/><Relationship Id="rId526" Type="http://schemas.openxmlformats.org/officeDocument/2006/relationships/hyperlink" Target="https://doi.org/10.1007/s11023-022-09608-8" TargetMode="External"/><Relationship Id="rId528" Type="http://schemas.openxmlformats.org/officeDocument/2006/relationships/hyperlink" Target="https://doi.org/10.1007/s11948-017-9943-x" TargetMode="External"/><Relationship Id="rId521" Type="http://schemas.openxmlformats.org/officeDocument/2006/relationships/hyperlink" Target="https://doi.org/10.1016/0005-1098(83)90046-8" TargetMode="External"/><Relationship Id="rId518" Type="http://schemas.openxmlformats.org/officeDocument/2006/relationships/hyperlink" Target="https://doi.org/10.1016/S0004-3702(98)00023-X" TargetMode="External"/><Relationship Id="rId536" Type="http://schemas.openxmlformats.org/officeDocument/2006/relationships/hyperlink" Target="https://doi.org/10.1145/1141911.1141919" TargetMode="External"/><Relationship Id="rId510" Type="http://schemas.openxmlformats.org/officeDocument/2006/relationships/hyperlink" Target="https://doi.org/10.1145/2000799.2000800" TargetMode="External"/><Relationship Id="rId534" Type="http://schemas.openxmlformats.org/officeDocument/2006/relationships/hyperlink" Target="https://doi.org/10.1145/3449287" TargetMode="External"/><Relationship Id="rId514" Type="http://schemas.openxmlformats.org/officeDocument/2006/relationships/hyperlink" Target="https://doi.org/10.1145/359545.359563" TargetMode="External"/><Relationship Id="rId495" Type="http://schemas.openxmlformats.org/officeDocument/2006/relationships/hyperlink" Target="https://doi.org/10.6028/NIST.AI.100-1" TargetMode="External"/><Relationship Id="rId499" Type="http://schemas.openxmlformats.org/officeDocument/2006/relationships/hyperlink" Target="https://doi.org/10.6028/NIST.AI.100-2e2023" TargetMode="External"/><Relationship Id="rId497" Type="http://schemas.openxmlformats.org/officeDocument/2006/relationships/hyperlink" Target="https://doi.org/10.6028/NIST.AI.600-1" TargetMode="External"/><Relationship Id="rId507" Type="http://schemas.openxmlformats.org/officeDocument/2006/relationships/hyperlink" Target="https://in-toto.io/docs/what-is-in-toto/" TargetMode="External"/><Relationship Id="rId482" Type="http://schemas.openxmlformats.org/officeDocument/2006/relationships/hyperlink" Target="https://promptedllc.com/" TargetMode="External"/><Relationship Id="rId491" Type="http://schemas.openxmlformats.org/officeDocument/2006/relationships/hyperlink" Target="https://promptedllc.com/context-grapple-gun" TargetMode="External"/><Relationship Id="rId488" Type="http://schemas.openxmlformats.org/officeDocument/2006/relationships/hyperlink" Target="https://promptedllc.com/fractal-quivers-of-quivers" TargetMode="External"/><Relationship Id="rId486" Type="http://schemas.openxmlformats.org/officeDocument/2006/relationships/hyperlink" Target="https://promptedllc.com/sovereign-continuity" TargetMode="External"/><Relationship Id="rId484" Type="http://schemas.openxmlformats.org/officeDocument/2006/relationships/hyperlink" Target="https://promptedllc.com/ubiquity" TargetMode="External"/><Relationship Id="rId505" Type="http://schemas.openxmlformats.org/officeDocument/2006/relationships/hyperlink" Target="https://slsa.dev/spec/v1.2/provenance" TargetMode="External"/><Relationship Id="rId503" Type="http://schemas.openxmlformats.org/officeDocument/2006/relationships/hyperlink" Target="https://spec.c2pa.org/specifications/specifications/2.3/specs/C2PA_Specification.html" TargetMode="External"/><Relationship Id="rId558" Type="http://schemas.openxmlformats.org/officeDocument/2006/relationships/hyperlink" Target="https://www.army.mil/article/288717/cmoss_mounted_form_factor_award_initiates_rapid_prototype_development" TargetMode="External"/><Relationship Id="rId560" Type="http://schemas.openxmlformats.org/officeDocument/2006/relationships/hyperlink" Target="https://www.esd.whs.mil/portals/54/documents/dd/issuances/dodd/300009p.pdf" TargetMode="External"/><Relationship Id="rId562" Type="http://schemas.openxmlformats.org/officeDocument/2006/relationships/hyperlink" Target="https://www.icrc.org/en/document/icrc-position-autonomous-weapon-systems" TargetMode="External"/><Relationship Id="rId480" Type="http://schemas.openxmlformats.org/officeDocument/2006/relationships/hyperlink" Target="https://www.jcs.mil/Portals/36/Documents/Library/Instructions/CJCSI%203162.02A.pdf" TargetMode="External"/><Relationship Id="rId538" Type="http://schemas.openxmlformats.org/officeDocument/2006/relationships/hyperlink" Target="https://www.mixfont.com/experiments/decoy-font" TargetMode="External"/><Relationship Id="rId501" Type="http://schemas.openxmlformats.org/officeDocument/2006/relationships/hyperlink" Target="https://www.w3.org/TR/prov-o/" TargetMode="External"/></Relationships>
</file>

<file path=word/_rels/footnotes.xml.rels><?xml version='1.0' encoding='UTF-8' standalone='yes'?>
<Relationships xmlns="http://schemas.openxmlformats.org/package/2006/relationships"><Relationship Id="rId530" Type="http://schemas.openxmlformats.org/officeDocument/2006/relationships/hyperlink" Target="https://arxiv.org/abs/2401.13744" TargetMode="External"/><Relationship Id="rId548" Type="http://schemas.openxmlformats.org/officeDocument/2006/relationships/hyperlink" Target="https://doi.org/10.1002/j.1538-7305.1948.tb01338.x" TargetMode="External"/><Relationship Id="rId524" Type="http://schemas.openxmlformats.org/officeDocument/2006/relationships/hyperlink" Target="https://doi.org/10.1007/s10676-019-09519-w" TargetMode="External"/><Relationship Id="rId526" Type="http://schemas.openxmlformats.org/officeDocument/2006/relationships/hyperlink" Target="https://doi.org/10.1007/s11023-022-09608-8" TargetMode="External"/><Relationship Id="rId528" Type="http://schemas.openxmlformats.org/officeDocument/2006/relationships/hyperlink" Target="https://doi.org/10.1007/s11948-017-9943-x" TargetMode="External"/><Relationship Id="rId521" Type="http://schemas.openxmlformats.org/officeDocument/2006/relationships/hyperlink" Target="https://doi.org/10.1016/0005-1098(83)90046-8" TargetMode="External"/><Relationship Id="rId518" Type="http://schemas.openxmlformats.org/officeDocument/2006/relationships/hyperlink" Target="https://doi.org/10.1016/S0004-3702(98)00023-X" TargetMode="External"/><Relationship Id="rId536" Type="http://schemas.openxmlformats.org/officeDocument/2006/relationships/hyperlink" Target="https://doi.org/10.1145/1141911.1141919" TargetMode="External"/><Relationship Id="rId510" Type="http://schemas.openxmlformats.org/officeDocument/2006/relationships/hyperlink" Target="https://doi.org/10.1145/2000799.2000800" TargetMode="External"/><Relationship Id="rId534" Type="http://schemas.openxmlformats.org/officeDocument/2006/relationships/hyperlink" Target="https://doi.org/10.1145/3449287" TargetMode="External"/><Relationship Id="rId514" Type="http://schemas.openxmlformats.org/officeDocument/2006/relationships/hyperlink" Target="https://doi.org/10.1145/359545.359563" TargetMode="External"/><Relationship Id="rId495" Type="http://schemas.openxmlformats.org/officeDocument/2006/relationships/hyperlink" Target="https://doi.org/10.6028/NIST.AI.100-1" TargetMode="External"/><Relationship Id="rId499" Type="http://schemas.openxmlformats.org/officeDocument/2006/relationships/hyperlink" Target="https://doi.org/10.6028/NIST.AI.100-2e2023" TargetMode="External"/><Relationship Id="rId497" Type="http://schemas.openxmlformats.org/officeDocument/2006/relationships/hyperlink" Target="https://doi.org/10.6028/NIST.AI.600-1" TargetMode="External"/><Relationship Id="rId507" Type="http://schemas.openxmlformats.org/officeDocument/2006/relationships/hyperlink" Target="https://in-toto.io/docs/what-is-in-toto/" TargetMode="External"/><Relationship Id="rId482" Type="http://schemas.openxmlformats.org/officeDocument/2006/relationships/hyperlink" Target="https://promptedllc.com/" TargetMode="External"/><Relationship Id="rId491" Type="http://schemas.openxmlformats.org/officeDocument/2006/relationships/hyperlink" Target="https://promptedllc.com/context-grapple-gun" TargetMode="External"/><Relationship Id="rId488" Type="http://schemas.openxmlformats.org/officeDocument/2006/relationships/hyperlink" Target="https://promptedllc.com/fractal-quivers-of-quivers" TargetMode="External"/><Relationship Id="rId486" Type="http://schemas.openxmlformats.org/officeDocument/2006/relationships/hyperlink" Target="https://promptedllc.com/sovereign-continuity" TargetMode="External"/><Relationship Id="rId484" Type="http://schemas.openxmlformats.org/officeDocument/2006/relationships/hyperlink" Target="https://promptedllc.com/ubiquity" TargetMode="External"/><Relationship Id="rId505" Type="http://schemas.openxmlformats.org/officeDocument/2006/relationships/hyperlink" Target="https://slsa.dev/spec/v1.2/provenance" TargetMode="External"/><Relationship Id="rId503" Type="http://schemas.openxmlformats.org/officeDocument/2006/relationships/hyperlink" Target="https://spec.c2pa.org/specifications/specifications/2.3/specs/C2PA_Specification.html" TargetMode="External"/><Relationship Id="rId558" Type="http://schemas.openxmlformats.org/officeDocument/2006/relationships/hyperlink" Target="https://www.army.mil/article/288717/cmoss_mounted_form_factor_award_initiates_rapid_prototype_development" TargetMode="External"/><Relationship Id="rId560" Type="http://schemas.openxmlformats.org/officeDocument/2006/relationships/hyperlink" Target="https://www.esd.whs.mil/portals/54/documents/dd/issuances/dodd/300009p.pdf" TargetMode="External"/><Relationship Id="rId562" Type="http://schemas.openxmlformats.org/officeDocument/2006/relationships/hyperlink" Target="https://www.icrc.org/en/document/icrc-position-autonomous-weapon-systems" TargetMode="External"/><Relationship Id="rId480" Type="http://schemas.openxmlformats.org/officeDocument/2006/relationships/hyperlink" Target="https://www.jcs.mil/Portals/36/Documents/Library/Instructions/CJCSI%203162.02A.pdf" TargetMode="External"/><Relationship Id="rId538" Type="http://schemas.openxmlformats.org/officeDocument/2006/relationships/hyperlink" Target="https://www.mixfont.com/experiments/decoy-font" TargetMode="External"/><Relationship Id="rId501" Type="http://schemas.openxmlformats.org/officeDocument/2006/relationships/hyperlink" Target="https://www.w3.org/TR/pro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FORKED: Observer-Indexed Reality, Suspension Lattices, and Mission-State Integrity</dc:title>
  <dc:creator>Breyden E. Taylor</dc:creator>
  <dc:language>en-US</dc:language>
  <cp:keywords>FORKED, Ubiquity Federation, splat mechanics, observer-indexed reality, Fractal Quivers of Quivers, human agency, provenance</cp:keywords>
  <dcterms:created xsi:type="dcterms:W3CDTF">2026-07-24T14:07:53Z</dcterms:created>
  <dcterms:modified xsi:type="dcterms:W3CDTF">2026-07-24T14:07:53Z</dcterms:modified>
  <dc:subject>A Ubiquity Federation estate for governing state, belief, agency, correction, and lawful closure</dc:subject>
  <cp:lastModifiedBy>Prompted LLC</cp:lastModifiedBy>
  <dc:description>Version 2.0 Foundational Whitepaper, July 2026</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references.bib</vt:lpwstr>
  </property>
  <property fmtid="{D5CDD505-2E9C-101B-9397-08002B2CF9AE}" pid="3" name="csl">
    <vt:lpwstr>/usr/share/texlive/texmf-dist/tex/latex/citation-style-language/styles/ieee.csl</vt:lpwstr>
  </property>
  <property fmtid="{D5CDD505-2E9C-101B-9397-08002B2CF9AE}" pid="4" name="date">
    <vt:lpwstr>Version 2.0 Foundational Whitepaper - July 2026</vt:lpwstr>
  </property>
  <property fmtid="{D5CDD505-2E9C-101B-9397-08002B2CF9AE}" pid="5" name="link-citations">
    <vt:lpwstr>True</vt:lpwstr>
  </property>
  <property fmtid="{D5CDD505-2E9C-101B-9397-08002B2CF9AE}" pid="6" name="subtitle">
    <vt:lpwstr>Observer-Indexed Reality, Suspension Lattices, and Mission-State Integrity</vt:lpwstr>
  </property>
</Properties>
</file>